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D8" w:rsidRPr="00B76DC4" w:rsidRDefault="00A900E5" w:rsidP="003971F1">
      <w:pPr>
        <w:spacing w:after="0"/>
        <w:jc w:val="center"/>
        <w:rPr>
          <w:rFonts w:cstheme="minorHAnsi"/>
          <w:b/>
          <w:color w:val="000000" w:themeColor="text1"/>
          <w:sz w:val="36"/>
          <w:szCs w:val="24"/>
        </w:rPr>
      </w:pPr>
      <w:r w:rsidRPr="00B76DC4">
        <w:rPr>
          <w:rFonts w:cstheme="minorHAnsi"/>
          <w:b/>
          <w:color w:val="000000" w:themeColor="text1"/>
          <w:sz w:val="36"/>
          <w:szCs w:val="24"/>
        </w:rPr>
        <w:t xml:space="preserve"> </w:t>
      </w:r>
      <w:r w:rsidR="002051D8" w:rsidRPr="00B76DC4">
        <w:rPr>
          <w:rFonts w:cstheme="minorHAnsi"/>
          <w:b/>
          <w:color w:val="000000" w:themeColor="text1"/>
          <w:sz w:val="36"/>
          <w:szCs w:val="24"/>
        </w:rPr>
        <w:t xml:space="preserve">ETM 501 </w:t>
      </w:r>
    </w:p>
    <w:p w:rsidR="00411E2C" w:rsidRPr="00B76DC4" w:rsidRDefault="002051D8" w:rsidP="003971F1">
      <w:pPr>
        <w:spacing w:after="0"/>
        <w:jc w:val="center"/>
        <w:rPr>
          <w:rFonts w:cstheme="minorHAnsi"/>
          <w:b/>
          <w:color w:val="000000" w:themeColor="text1"/>
          <w:sz w:val="36"/>
          <w:szCs w:val="24"/>
        </w:rPr>
      </w:pPr>
      <w:r w:rsidRPr="00B76DC4">
        <w:rPr>
          <w:rFonts w:cstheme="minorHAnsi"/>
          <w:b/>
          <w:color w:val="000000" w:themeColor="text1"/>
          <w:sz w:val="36"/>
          <w:szCs w:val="24"/>
        </w:rPr>
        <w:t xml:space="preserve">Energy: </w:t>
      </w:r>
      <w:r w:rsidR="00B503A5" w:rsidRPr="00B76DC4">
        <w:rPr>
          <w:rFonts w:cstheme="minorHAnsi"/>
          <w:b/>
          <w:color w:val="000000" w:themeColor="text1"/>
          <w:sz w:val="36"/>
          <w:szCs w:val="24"/>
        </w:rPr>
        <w:t>Economy</w:t>
      </w:r>
      <w:r w:rsidR="00476F5E" w:rsidRPr="00B76DC4">
        <w:rPr>
          <w:rFonts w:cstheme="minorHAnsi"/>
          <w:b/>
          <w:color w:val="000000" w:themeColor="text1"/>
          <w:sz w:val="36"/>
          <w:szCs w:val="24"/>
        </w:rPr>
        <w:t xml:space="preserve"> and Politics</w:t>
      </w:r>
    </w:p>
    <w:p w:rsidR="00411E2C" w:rsidRPr="00B37563" w:rsidRDefault="00411E2C" w:rsidP="003971F1">
      <w:pPr>
        <w:spacing w:after="0"/>
        <w:rPr>
          <w:rFonts w:cstheme="minorHAnsi"/>
          <w:color w:val="FF0000"/>
          <w:sz w:val="24"/>
          <w:szCs w:val="24"/>
          <w:u w:val="single"/>
        </w:rPr>
      </w:pPr>
    </w:p>
    <w:p w:rsidR="004D4566" w:rsidRPr="00B37563" w:rsidRDefault="00152BF5" w:rsidP="003971F1">
      <w:pPr>
        <w:spacing w:after="0"/>
        <w:jc w:val="center"/>
        <w:rPr>
          <w:rFonts w:cstheme="minorHAnsi"/>
          <w:b/>
          <w:sz w:val="28"/>
          <w:szCs w:val="24"/>
        </w:rPr>
      </w:pPr>
      <w:r>
        <w:rPr>
          <w:rFonts w:cstheme="minorHAnsi"/>
          <w:b/>
          <w:sz w:val="28"/>
          <w:szCs w:val="24"/>
        </w:rPr>
        <w:t>Fall 2020-2021</w:t>
      </w:r>
    </w:p>
    <w:p w:rsidR="004D4566" w:rsidRDefault="00152BF5" w:rsidP="003971F1">
      <w:pPr>
        <w:spacing w:after="0"/>
        <w:jc w:val="center"/>
        <w:rPr>
          <w:rFonts w:cstheme="minorHAnsi"/>
          <w:b/>
          <w:sz w:val="28"/>
          <w:szCs w:val="24"/>
        </w:rPr>
      </w:pPr>
      <w:r>
        <w:rPr>
          <w:rFonts w:cstheme="minorHAnsi"/>
          <w:b/>
          <w:sz w:val="28"/>
          <w:szCs w:val="24"/>
        </w:rPr>
        <w:t>Course Syllabus</w:t>
      </w:r>
    </w:p>
    <w:p w:rsidR="00152BF5" w:rsidRPr="00152BF5" w:rsidRDefault="003220B9" w:rsidP="003971F1">
      <w:pPr>
        <w:spacing w:after="0"/>
        <w:jc w:val="center"/>
        <w:rPr>
          <w:rFonts w:cstheme="minorHAnsi"/>
          <w:b/>
          <w:szCs w:val="24"/>
        </w:rPr>
      </w:pPr>
      <w:r>
        <w:rPr>
          <w:rFonts w:cstheme="minorHAnsi"/>
          <w:b/>
          <w:szCs w:val="24"/>
        </w:rPr>
        <w:t>October 2</w:t>
      </w:r>
      <w:r w:rsidRPr="003220B9">
        <w:rPr>
          <w:rFonts w:cstheme="minorHAnsi"/>
          <w:b/>
          <w:szCs w:val="24"/>
          <w:vertAlign w:val="superscript"/>
        </w:rPr>
        <w:t>nd</w:t>
      </w:r>
      <w:r w:rsidR="00152BF5" w:rsidRPr="00152BF5">
        <w:rPr>
          <w:rFonts w:cstheme="minorHAnsi"/>
          <w:b/>
          <w:szCs w:val="24"/>
        </w:rPr>
        <w:t>, 2020, v1</w:t>
      </w:r>
    </w:p>
    <w:p w:rsidR="002051D8" w:rsidRDefault="002051D8" w:rsidP="003971F1">
      <w:pPr>
        <w:spacing w:after="0"/>
        <w:rPr>
          <w:rFonts w:cstheme="minorHAnsi"/>
          <w:sz w:val="24"/>
          <w:szCs w:val="24"/>
        </w:rPr>
      </w:pPr>
    </w:p>
    <w:p w:rsidR="00E94262" w:rsidRPr="006F4A09" w:rsidRDefault="00E94262" w:rsidP="003971F1">
      <w:pPr>
        <w:spacing w:after="0"/>
        <w:rPr>
          <w:rFonts w:cstheme="minorHAnsi"/>
        </w:rPr>
      </w:pPr>
    </w:p>
    <w:p w:rsidR="004D4566" w:rsidRPr="006F4A09" w:rsidRDefault="000A2946" w:rsidP="003971F1">
      <w:pPr>
        <w:spacing w:after="0"/>
        <w:rPr>
          <w:rFonts w:cstheme="minorHAnsi"/>
          <w:b/>
          <w:u w:val="single"/>
        </w:rPr>
      </w:pPr>
      <w:r w:rsidRPr="006F4A09">
        <w:rPr>
          <w:rFonts w:cstheme="minorHAnsi"/>
          <w:b/>
          <w:u w:val="single"/>
        </w:rPr>
        <w:t>Instructors</w:t>
      </w:r>
    </w:p>
    <w:p w:rsidR="004D4566" w:rsidRPr="004D33B9" w:rsidRDefault="000505BE" w:rsidP="003971F1">
      <w:pPr>
        <w:spacing w:after="0"/>
        <w:rPr>
          <w:rFonts w:cstheme="minorHAnsi"/>
        </w:rPr>
      </w:pPr>
      <w:r w:rsidRPr="004D33B9">
        <w:rPr>
          <w:rFonts w:cstheme="minorHAnsi"/>
        </w:rPr>
        <w:t>Dr. Ahmet Evin</w:t>
      </w:r>
      <w:r w:rsidR="00BB73AA" w:rsidRPr="004D33B9">
        <w:rPr>
          <w:rFonts w:cstheme="minorHAnsi"/>
        </w:rPr>
        <w:t>,</w:t>
      </w:r>
      <w:r w:rsidRPr="004D33B9">
        <w:rPr>
          <w:rFonts w:cstheme="minorHAnsi"/>
        </w:rPr>
        <w:t xml:space="preserve">      </w:t>
      </w:r>
      <w:r w:rsidR="00E10B86" w:rsidRPr="004D33B9">
        <w:rPr>
          <w:rFonts w:cstheme="minorHAnsi"/>
        </w:rPr>
        <w:t xml:space="preserve">Office: FASS 2105,  216-483 9230,  </w:t>
      </w:r>
      <w:r w:rsidR="004D4566" w:rsidRPr="004D33B9">
        <w:rPr>
          <w:rFonts w:cstheme="minorHAnsi"/>
        </w:rPr>
        <w:t>aevin</w:t>
      </w:r>
      <w:r w:rsidR="00E10B86" w:rsidRPr="004D33B9">
        <w:rPr>
          <w:rFonts w:cstheme="minorHAnsi"/>
        </w:rPr>
        <w:t>@</w:t>
      </w:r>
      <w:r w:rsidR="004D4566" w:rsidRPr="004D33B9">
        <w:rPr>
          <w:rFonts w:cstheme="minorHAnsi"/>
        </w:rPr>
        <w:t>sabanciuniv.edu</w:t>
      </w:r>
    </w:p>
    <w:p w:rsidR="00BB73AA" w:rsidRPr="004D33B9" w:rsidRDefault="004D4566" w:rsidP="003971F1">
      <w:pPr>
        <w:spacing w:after="0"/>
        <w:rPr>
          <w:rFonts w:cstheme="minorHAnsi"/>
        </w:rPr>
      </w:pPr>
      <w:r w:rsidRPr="004D33B9">
        <w:rPr>
          <w:rFonts w:cstheme="minorHAnsi"/>
        </w:rPr>
        <w:t xml:space="preserve">Dr. </w:t>
      </w:r>
      <w:r w:rsidR="00072F3D" w:rsidRPr="004D33B9">
        <w:rPr>
          <w:rFonts w:cstheme="minorHAnsi"/>
        </w:rPr>
        <w:t>Murat Kaya</w:t>
      </w:r>
      <w:r w:rsidR="00BB73AA" w:rsidRPr="004D33B9">
        <w:rPr>
          <w:rFonts w:cstheme="minorHAnsi"/>
        </w:rPr>
        <w:t>,</w:t>
      </w:r>
      <w:r w:rsidR="00072F3D" w:rsidRPr="004D33B9">
        <w:rPr>
          <w:rFonts w:cstheme="minorHAnsi"/>
        </w:rPr>
        <w:t xml:space="preserve">      </w:t>
      </w:r>
      <w:r w:rsidR="00E10B86" w:rsidRPr="004D33B9">
        <w:rPr>
          <w:rFonts w:cstheme="minorHAnsi"/>
        </w:rPr>
        <w:t xml:space="preserve">Office: </w:t>
      </w:r>
      <w:r w:rsidRPr="004D33B9">
        <w:rPr>
          <w:rFonts w:cstheme="minorHAnsi"/>
        </w:rPr>
        <w:t>FENS G0</w:t>
      </w:r>
      <w:r w:rsidR="00E10B86" w:rsidRPr="004D33B9">
        <w:rPr>
          <w:rFonts w:cstheme="minorHAnsi"/>
        </w:rPr>
        <w:t xml:space="preserve">20, </w:t>
      </w:r>
      <w:r w:rsidRPr="004D33B9">
        <w:rPr>
          <w:rFonts w:cstheme="minorHAnsi"/>
        </w:rPr>
        <w:t xml:space="preserve">216-483 9622,  </w:t>
      </w:r>
      <w:hyperlink r:id="rId7" w:history="1">
        <w:r w:rsidRPr="004D33B9">
          <w:rPr>
            <w:rStyle w:val="Hyperlink"/>
            <w:rFonts w:cstheme="minorHAnsi"/>
            <w:color w:val="auto"/>
            <w:u w:val="none"/>
          </w:rPr>
          <w:t>mkaya@sabanciuniv.edu</w:t>
        </w:r>
      </w:hyperlink>
    </w:p>
    <w:p w:rsidR="009E50A8" w:rsidRPr="006F4A09" w:rsidRDefault="009E50A8" w:rsidP="003971F1">
      <w:pPr>
        <w:spacing w:after="0"/>
        <w:rPr>
          <w:rFonts w:cstheme="minorHAnsi"/>
          <w:b/>
          <w:u w:val="single"/>
        </w:rPr>
      </w:pPr>
    </w:p>
    <w:p w:rsidR="00501F59" w:rsidRPr="006F4A09" w:rsidRDefault="000A2946" w:rsidP="003971F1">
      <w:pPr>
        <w:spacing w:after="0"/>
        <w:rPr>
          <w:rFonts w:cstheme="minorHAnsi"/>
          <w:b/>
          <w:u w:val="single"/>
        </w:rPr>
      </w:pPr>
      <w:r w:rsidRPr="006F4A09">
        <w:rPr>
          <w:rFonts w:cstheme="minorHAnsi"/>
          <w:b/>
          <w:u w:val="single"/>
        </w:rPr>
        <w:t>Course objective</w:t>
      </w:r>
    </w:p>
    <w:p w:rsidR="00E60854" w:rsidRPr="006F4A09" w:rsidRDefault="00A53AFA" w:rsidP="003971F1">
      <w:pPr>
        <w:spacing w:after="0"/>
        <w:rPr>
          <w:rFonts w:cstheme="minorHAnsi"/>
        </w:rPr>
      </w:pPr>
      <w:r w:rsidRPr="006F4A09">
        <w:rPr>
          <w:rFonts w:cstheme="minorHAnsi"/>
        </w:rPr>
        <w:t>The course aims to provide a big-picture view to help students understand the interdependencies between economics, international politics</w:t>
      </w:r>
      <w:r w:rsidR="00501F59" w:rsidRPr="006F4A09">
        <w:rPr>
          <w:rFonts w:cstheme="minorHAnsi"/>
        </w:rPr>
        <w:t>, business</w:t>
      </w:r>
      <w:r w:rsidRPr="006F4A09">
        <w:rPr>
          <w:rFonts w:cstheme="minorHAnsi"/>
        </w:rPr>
        <w:t xml:space="preserve"> and environment</w:t>
      </w:r>
      <w:r w:rsidR="00072F3D" w:rsidRPr="006F4A09">
        <w:rPr>
          <w:rFonts w:cstheme="minorHAnsi"/>
        </w:rPr>
        <w:t>,</w:t>
      </w:r>
      <w:r w:rsidRPr="006F4A09">
        <w:rPr>
          <w:rFonts w:cstheme="minorHAnsi"/>
        </w:rPr>
        <w:t xml:space="preserve"> regarding energy-related issues.</w:t>
      </w:r>
    </w:p>
    <w:p w:rsidR="000A2946" w:rsidRPr="006F4A09" w:rsidRDefault="000A2946" w:rsidP="003971F1">
      <w:pPr>
        <w:spacing w:after="0"/>
        <w:rPr>
          <w:rFonts w:cstheme="minorHAnsi"/>
        </w:rPr>
      </w:pPr>
    </w:p>
    <w:p w:rsidR="000A2946" w:rsidRDefault="000A2946" w:rsidP="003971F1">
      <w:pPr>
        <w:spacing w:after="0"/>
        <w:rPr>
          <w:rFonts w:cstheme="minorHAnsi"/>
          <w:b/>
          <w:u w:val="single"/>
        </w:rPr>
      </w:pPr>
      <w:r w:rsidRPr="006F4A09">
        <w:rPr>
          <w:rFonts w:cstheme="minorHAnsi"/>
          <w:b/>
          <w:u w:val="single"/>
        </w:rPr>
        <w:t>Learning Outcomes</w:t>
      </w:r>
    </w:p>
    <w:p w:rsidR="006F4A09" w:rsidRPr="006F4A09" w:rsidRDefault="006F4A09" w:rsidP="003971F1">
      <w:pPr>
        <w:spacing w:after="0"/>
        <w:rPr>
          <w:rFonts w:cstheme="minorHAnsi"/>
        </w:rPr>
      </w:pPr>
      <w:r w:rsidRPr="006F4A09">
        <w:rPr>
          <w:rFonts w:cstheme="minorHAnsi"/>
        </w:rPr>
        <w:t>Upon successful completion of this course, students are expected to be able to:</w:t>
      </w:r>
    </w:p>
    <w:p w:rsidR="006F4A09" w:rsidRPr="006F4A09"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Categorize primary energy sources along with their worldwide distribution, supply-demand relations and associated production technologies.</w:t>
      </w:r>
    </w:p>
    <w:p w:rsidR="006F4A09" w:rsidRPr="006F4A09"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Discuss the relative advantages and disadvantages (in terms of investment requirements, environmental impact and political risks) of using traditional fossil fuels (oil, natural gas, coal), renewable energy sources (hydro, solar, wind, biomass) and nuclear energy.</w:t>
      </w:r>
    </w:p>
    <w:p w:rsidR="006F4A09" w:rsidRPr="006F4A09"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Explain the dynamics of energy supply chains and energy markets with particular focus on electricity as the most usable form of energy.</w:t>
      </w:r>
    </w:p>
    <w:p w:rsidR="006F4A09" w:rsidRPr="00B76DC4"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Demonstrate substantive knowledge of how energy relates to social, political, and economic aspects of contemporary life on a national, regional or global basis.</w:t>
      </w:r>
    </w:p>
    <w:p w:rsidR="006F4A09" w:rsidRPr="006F4A09"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Demonstrate familiarity with sources and databases to obtain reliable information on energy reserves, production, transmission, and distribution.</w:t>
      </w:r>
    </w:p>
    <w:p w:rsidR="006F4A09" w:rsidRPr="006F4A09"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Analyze how energy security and the geopolitics of energy affect national and EU policies as well as international relations.</w:t>
      </w:r>
    </w:p>
    <w:p w:rsidR="000A2946" w:rsidRPr="00B76DC4" w:rsidRDefault="006F4A09" w:rsidP="003971F1">
      <w:pPr>
        <w:pStyle w:val="ListParagraph"/>
        <w:numPr>
          <w:ilvl w:val="0"/>
          <w:numId w:val="9"/>
        </w:numPr>
        <w:spacing w:after="0"/>
        <w:rPr>
          <w:rFonts w:ascii="Calibri" w:eastAsia="Times New Roman" w:hAnsi="Calibri" w:cs="Calibri"/>
        </w:rPr>
      </w:pPr>
      <w:r w:rsidRPr="006F4A09">
        <w:rPr>
          <w:rFonts w:ascii="Calibri" w:eastAsia="Times New Roman" w:hAnsi="Calibri" w:cs="Calibri"/>
        </w:rPr>
        <w:t>Explain how economic and non-economic factors affect energy markets and prices of primary energy as well as power.</w:t>
      </w:r>
    </w:p>
    <w:p w:rsidR="009E50A8" w:rsidRPr="006F4A09" w:rsidRDefault="009E50A8" w:rsidP="003971F1">
      <w:pPr>
        <w:spacing w:after="0"/>
        <w:rPr>
          <w:rFonts w:cstheme="minorHAnsi"/>
          <w:b/>
          <w:u w:val="single"/>
        </w:rPr>
      </w:pPr>
    </w:p>
    <w:p w:rsidR="00E60854" w:rsidRPr="006F4A09" w:rsidRDefault="00E60854" w:rsidP="003971F1">
      <w:pPr>
        <w:spacing w:after="0"/>
        <w:rPr>
          <w:rFonts w:cstheme="minorHAnsi"/>
          <w:b/>
          <w:u w:val="single"/>
        </w:rPr>
      </w:pPr>
      <w:r w:rsidRPr="006F4A09">
        <w:rPr>
          <w:rFonts w:cstheme="minorHAnsi"/>
          <w:b/>
          <w:u w:val="single"/>
        </w:rPr>
        <w:t>Course Policies</w:t>
      </w:r>
    </w:p>
    <w:p w:rsidR="00E60854" w:rsidRPr="006F4A09" w:rsidRDefault="00E60854" w:rsidP="003971F1">
      <w:pPr>
        <w:pStyle w:val="ListParagraph"/>
        <w:numPr>
          <w:ilvl w:val="0"/>
          <w:numId w:val="4"/>
        </w:numPr>
        <w:spacing w:after="0"/>
        <w:rPr>
          <w:rFonts w:cstheme="minorHAnsi"/>
        </w:rPr>
      </w:pPr>
      <w:r w:rsidRPr="006F4A09">
        <w:rPr>
          <w:rFonts w:cstheme="minorHAnsi"/>
        </w:rPr>
        <w:t xml:space="preserve">Attendance </w:t>
      </w:r>
      <w:r w:rsidR="00152BF5">
        <w:rPr>
          <w:rFonts w:cstheme="minorHAnsi"/>
        </w:rPr>
        <w:t xml:space="preserve">(physical or online) </w:t>
      </w:r>
      <w:r w:rsidRPr="006F4A09">
        <w:rPr>
          <w:rFonts w:cstheme="minorHAnsi"/>
        </w:rPr>
        <w:t>is mandatory and will be recorded.</w:t>
      </w:r>
    </w:p>
    <w:p w:rsidR="00E60854" w:rsidRPr="006F4A09" w:rsidRDefault="00E60854" w:rsidP="003971F1">
      <w:pPr>
        <w:pStyle w:val="ListParagraph"/>
        <w:numPr>
          <w:ilvl w:val="0"/>
          <w:numId w:val="4"/>
        </w:numPr>
        <w:spacing w:after="0"/>
        <w:rPr>
          <w:rFonts w:cstheme="minorHAnsi"/>
        </w:rPr>
      </w:pPr>
      <w:r w:rsidRPr="006F4A09">
        <w:rPr>
          <w:rFonts w:cstheme="minorHAnsi"/>
        </w:rPr>
        <w:t>Partial (not full) lecture slide sets will be available at SuCourse</w:t>
      </w:r>
      <w:r w:rsidR="00546317">
        <w:rPr>
          <w:rFonts w:cstheme="minorHAnsi"/>
        </w:rPr>
        <w:t>+</w:t>
      </w:r>
      <w:r w:rsidRPr="006F4A09">
        <w:rPr>
          <w:rFonts w:cstheme="minorHAnsi"/>
        </w:rPr>
        <w:t>.</w:t>
      </w:r>
    </w:p>
    <w:p w:rsidR="00233F5C" w:rsidRDefault="00233F5C" w:rsidP="003971F1">
      <w:pPr>
        <w:spacing w:after="0"/>
        <w:rPr>
          <w:rFonts w:cstheme="minorHAnsi"/>
          <w:b/>
          <w:u w:val="single"/>
        </w:rPr>
      </w:pPr>
    </w:p>
    <w:p w:rsidR="00233F5C" w:rsidRDefault="00233F5C" w:rsidP="003971F1">
      <w:pPr>
        <w:spacing w:after="0"/>
        <w:rPr>
          <w:rFonts w:cstheme="minorHAnsi"/>
          <w:b/>
          <w:u w:val="single"/>
        </w:rPr>
      </w:pPr>
      <w:r>
        <w:rPr>
          <w:rFonts w:cstheme="minorHAnsi"/>
          <w:b/>
          <w:u w:val="single"/>
        </w:rPr>
        <w:t>Evaluation Policy</w:t>
      </w:r>
    </w:p>
    <w:p w:rsidR="00233F5C" w:rsidRPr="00233F5C" w:rsidRDefault="00233F5C" w:rsidP="003971F1">
      <w:pPr>
        <w:pStyle w:val="ListParagraph"/>
        <w:numPr>
          <w:ilvl w:val="0"/>
          <w:numId w:val="4"/>
        </w:numPr>
        <w:spacing w:after="0"/>
        <w:rPr>
          <w:rFonts w:cstheme="minorHAnsi"/>
          <w:b/>
          <w:u w:val="single"/>
        </w:rPr>
      </w:pPr>
      <w:r w:rsidRPr="00233F5C">
        <w:rPr>
          <w:rFonts w:cstheme="minorHAnsi"/>
        </w:rPr>
        <w:t>Course grading will be based in-class contribution, quiz</w:t>
      </w:r>
      <w:r>
        <w:rPr>
          <w:rFonts w:cstheme="minorHAnsi"/>
        </w:rPr>
        <w:t xml:space="preserve"> and </w:t>
      </w:r>
      <w:r w:rsidR="00B76DC4">
        <w:rPr>
          <w:rFonts w:cstheme="minorHAnsi"/>
        </w:rPr>
        <w:t>assignment</w:t>
      </w:r>
      <w:r>
        <w:rPr>
          <w:rFonts w:cstheme="minorHAnsi"/>
        </w:rPr>
        <w:t xml:space="preserve">s. </w:t>
      </w:r>
    </w:p>
    <w:p w:rsidR="00233F5C" w:rsidRPr="00233F5C" w:rsidRDefault="00233F5C" w:rsidP="003971F1">
      <w:pPr>
        <w:pStyle w:val="ListParagraph"/>
        <w:numPr>
          <w:ilvl w:val="0"/>
          <w:numId w:val="4"/>
        </w:numPr>
        <w:spacing w:after="0"/>
        <w:rPr>
          <w:rFonts w:cstheme="minorHAnsi"/>
          <w:b/>
          <w:u w:val="single"/>
        </w:rPr>
      </w:pPr>
      <w:r>
        <w:rPr>
          <w:rFonts w:cstheme="minorHAnsi"/>
        </w:rPr>
        <w:t>Assignments will be posted to SuCourse</w:t>
      </w:r>
      <w:r w:rsidR="006C1677">
        <w:rPr>
          <w:rFonts w:cstheme="minorHAnsi"/>
        </w:rPr>
        <w:t>+</w:t>
      </w:r>
      <w:r>
        <w:rPr>
          <w:rFonts w:cstheme="minorHAnsi"/>
        </w:rPr>
        <w:t xml:space="preserve">. </w:t>
      </w:r>
    </w:p>
    <w:p w:rsidR="00233F5C" w:rsidRPr="004D33B9" w:rsidRDefault="00233F5C" w:rsidP="003971F1">
      <w:pPr>
        <w:pStyle w:val="ListParagraph"/>
        <w:numPr>
          <w:ilvl w:val="0"/>
          <w:numId w:val="4"/>
        </w:numPr>
        <w:spacing w:after="0"/>
        <w:rPr>
          <w:rFonts w:cstheme="minorHAnsi"/>
          <w:b/>
          <w:u w:val="single"/>
        </w:rPr>
      </w:pPr>
      <w:r>
        <w:rPr>
          <w:rFonts w:cstheme="minorHAnsi"/>
        </w:rPr>
        <w:t>Grades will be announced via SuCourse</w:t>
      </w:r>
      <w:r w:rsidR="006C1677">
        <w:rPr>
          <w:rFonts w:cstheme="minorHAnsi"/>
        </w:rPr>
        <w:t>+</w:t>
      </w:r>
      <w:r>
        <w:rPr>
          <w:rFonts w:cstheme="minorHAnsi"/>
        </w:rPr>
        <w:t>.</w:t>
      </w:r>
    </w:p>
    <w:p w:rsidR="004D4566" w:rsidRPr="006F4A09" w:rsidRDefault="00501F59" w:rsidP="003971F1">
      <w:pPr>
        <w:spacing w:after="0"/>
        <w:rPr>
          <w:rFonts w:cstheme="minorHAnsi"/>
          <w:b/>
          <w:u w:val="single"/>
        </w:rPr>
      </w:pPr>
      <w:r w:rsidRPr="006F4A09">
        <w:rPr>
          <w:rFonts w:cstheme="minorHAnsi"/>
          <w:b/>
          <w:u w:val="single"/>
        </w:rPr>
        <w:lastRenderedPageBreak/>
        <w:t xml:space="preserve">Course Material and </w:t>
      </w:r>
      <w:r w:rsidR="004D4566" w:rsidRPr="006F4A09">
        <w:rPr>
          <w:rFonts w:cstheme="minorHAnsi"/>
          <w:b/>
          <w:u w:val="single"/>
        </w:rPr>
        <w:t>References</w:t>
      </w:r>
    </w:p>
    <w:p w:rsidR="00F432F2" w:rsidRPr="006F4A09" w:rsidRDefault="00F432F2" w:rsidP="003971F1">
      <w:pPr>
        <w:spacing w:after="0"/>
        <w:rPr>
          <w:rFonts w:cstheme="minorHAnsi"/>
        </w:rPr>
      </w:pPr>
      <w:r w:rsidRPr="006F4A09">
        <w:rPr>
          <w:rFonts w:cstheme="minorHAnsi"/>
        </w:rPr>
        <w:t xml:space="preserve">There is no main textbook for the course. Instead, we will use various reading material including book chapters, white papers and reports. Below, we list a number of sample reading material and resources. Additional readings will be posted at SUCourse from time to time. </w:t>
      </w:r>
    </w:p>
    <w:p w:rsidR="00BF4BE9" w:rsidRPr="00BF4BE9" w:rsidRDefault="00BF4BE9" w:rsidP="003971F1">
      <w:pPr>
        <w:numPr>
          <w:ilvl w:val="0"/>
          <w:numId w:val="7"/>
        </w:numPr>
        <w:spacing w:after="0"/>
        <w:contextualSpacing/>
        <w:rPr>
          <w:rFonts w:cstheme="minorHAnsi"/>
        </w:rPr>
      </w:pPr>
      <w:r w:rsidRPr="00BF4BE9">
        <w:rPr>
          <w:rFonts w:cstheme="minorHAnsi"/>
        </w:rPr>
        <w:t>The Quest (Book): Energy, Security, and the Remaking of the Modern World. D. Yergin. 2012. (highly recommended. Turkish version title: Enerjinin Geleceği, 2 cilt)</w:t>
      </w:r>
    </w:p>
    <w:p w:rsidR="00BF4BE9" w:rsidRPr="00BF4BE9" w:rsidRDefault="00BF4BE9" w:rsidP="003971F1">
      <w:pPr>
        <w:numPr>
          <w:ilvl w:val="0"/>
          <w:numId w:val="7"/>
        </w:numPr>
        <w:spacing w:after="0"/>
        <w:contextualSpacing/>
        <w:rPr>
          <w:rFonts w:cstheme="minorHAnsi"/>
        </w:rPr>
      </w:pPr>
      <w:r w:rsidRPr="00BF4BE9">
        <w:rPr>
          <w:rFonts w:cstheme="minorHAnsi"/>
        </w:rPr>
        <w:t>The Prize: The Epic Quest for Oil, Money and Power: D. Yergin. 1990. Turkish version title: Petrol. Iş Bankası Yayınları.</w:t>
      </w:r>
    </w:p>
    <w:p w:rsidR="00BF4BE9" w:rsidRPr="00BF4BE9" w:rsidRDefault="00BF4BE9" w:rsidP="003971F1">
      <w:pPr>
        <w:numPr>
          <w:ilvl w:val="0"/>
          <w:numId w:val="7"/>
        </w:numPr>
        <w:spacing w:after="0"/>
        <w:contextualSpacing/>
        <w:rPr>
          <w:rFonts w:cstheme="minorHAnsi"/>
        </w:rPr>
      </w:pPr>
      <w:r w:rsidRPr="00BF4BE9">
        <w:rPr>
          <w:rFonts w:cstheme="minorHAnsi"/>
        </w:rPr>
        <w:t xml:space="preserve">IEA World Energy Outlook Reports </w:t>
      </w:r>
    </w:p>
    <w:p w:rsidR="00BF4BE9" w:rsidRPr="00BF4BE9" w:rsidRDefault="00C46FCE" w:rsidP="003971F1">
      <w:pPr>
        <w:spacing w:after="0"/>
        <w:ind w:left="1440"/>
        <w:contextualSpacing/>
        <w:rPr>
          <w:rFonts w:cstheme="minorHAnsi"/>
          <w:iCs/>
        </w:rPr>
      </w:pPr>
      <w:hyperlink r:id="rId8" w:history="1">
        <w:r w:rsidR="00BF4BE9" w:rsidRPr="00BF4BE9">
          <w:rPr>
            <w:rFonts w:cstheme="minorHAnsi"/>
            <w:iCs/>
            <w:color w:val="0000FF"/>
            <w:u w:val="single"/>
          </w:rPr>
          <w:t>www.worldenergyoutlook.org/</w:t>
        </w:r>
      </w:hyperlink>
    </w:p>
    <w:p w:rsidR="00BF4BE9" w:rsidRPr="00BF4BE9" w:rsidRDefault="00BF4BE9" w:rsidP="003971F1">
      <w:pPr>
        <w:numPr>
          <w:ilvl w:val="0"/>
          <w:numId w:val="7"/>
        </w:numPr>
        <w:spacing w:after="0"/>
        <w:contextualSpacing/>
        <w:rPr>
          <w:rFonts w:cstheme="minorHAnsi"/>
        </w:rPr>
      </w:pPr>
      <w:r w:rsidRPr="00BF4BE9">
        <w:rPr>
          <w:rFonts w:cstheme="minorHAnsi"/>
        </w:rPr>
        <w:t>IEA Technology Roadmaps</w:t>
      </w:r>
    </w:p>
    <w:p w:rsidR="00BF4BE9" w:rsidRPr="00BF4BE9" w:rsidRDefault="00C46FCE" w:rsidP="003971F1">
      <w:pPr>
        <w:spacing w:after="0"/>
        <w:ind w:left="1440"/>
        <w:contextualSpacing/>
        <w:rPr>
          <w:rFonts w:cstheme="minorHAnsi"/>
        </w:rPr>
      </w:pPr>
      <w:hyperlink r:id="rId9" w:history="1">
        <w:r w:rsidR="00BF4BE9" w:rsidRPr="00BF4BE9">
          <w:rPr>
            <w:rFonts w:cstheme="minorHAnsi"/>
            <w:color w:val="0000FF"/>
            <w:u w:val="single"/>
          </w:rPr>
          <w:t>www.iea.org/roadmaps/</w:t>
        </w:r>
      </w:hyperlink>
    </w:p>
    <w:p w:rsidR="00BF4BE9" w:rsidRPr="00BF4BE9" w:rsidRDefault="00BF4BE9" w:rsidP="003971F1">
      <w:pPr>
        <w:numPr>
          <w:ilvl w:val="0"/>
          <w:numId w:val="7"/>
        </w:numPr>
        <w:spacing w:after="0"/>
        <w:contextualSpacing/>
        <w:rPr>
          <w:rFonts w:cstheme="minorHAnsi"/>
        </w:rPr>
      </w:pPr>
      <w:r w:rsidRPr="00BF4BE9">
        <w:rPr>
          <w:rFonts w:cstheme="minorHAnsi"/>
        </w:rPr>
        <w:t xml:space="preserve">BP Statistical Review of World Energy Reports </w:t>
      </w:r>
    </w:p>
    <w:p w:rsidR="00BF4BE9" w:rsidRPr="00BF4BE9" w:rsidRDefault="00C46FCE" w:rsidP="003971F1">
      <w:pPr>
        <w:spacing w:after="0"/>
        <w:ind w:left="1440"/>
        <w:contextualSpacing/>
        <w:rPr>
          <w:rFonts w:cstheme="minorHAnsi"/>
        </w:rPr>
      </w:pPr>
      <w:hyperlink r:id="rId10" w:history="1">
        <w:r w:rsidR="00BF4BE9" w:rsidRPr="00BF4BE9">
          <w:rPr>
            <w:rFonts w:cstheme="minorHAnsi"/>
            <w:color w:val="0000FF"/>
            <w:u w:val="single"/>
          </w:rPr>
          <w:t>www.bp.com/en/global/corporate/energy-economics/statistical-review-of-world-energy.html</w:t>
        </w:r>
      </w:hyperlink>
    </w:p>
    <w:p w:rsidR="00BF4BE9" w:rsidRPr="00BF4BE9" w:rsidRDefault="00BF4BE9" w:rsidP="003971F1">
      <w:pPr>
        <w:numPr>
          <w:ilvl w:val="0"/>
          <w:numId w:val="7"/>
        </w:numPr>
        <w:spacing w:after="0"/>
        <w:contextualSpacing/>
        <w:rPr>
          <w:rFonts w:cstheme="minorHAnsi"/>
        </w:rPr>
      </w:pPr>
      <w:r w:rsidRPr="00BF4BE9">
        <w:rPr>
          <w:rFonts w:cstheme="minorHAnsi"/>
        </w:rPr>
        <w:t>BP Energy Outlook</w:t>
      </w:r>
    </w:p>
    <w:p w:rsidR="00BF4BE9" w:rsidRPr="00BF4BE9" w:rsidRDefault="00C46FCE" w:rsidP="003971F1">
      <w:pPr>
        <w:spacing w:after="0"/>
        <w:ind w:left="1440"/>
        <w:contextualSpacing/>
        <w:rPr>
          <w:rFonts w:cstheme="minorHAnsi"/>
        </w:rPr>
      </w:pPr>
      <w:hyperlink r:id="rId11" w:history="1">
        <w:r w:rsidR="00BF4BE9" w:rsidRPr="00BF4BE9">
          <w:rPr>
            <w:rFonts w:cstheme="minorHAnsi"/>
            <w:color w:val="0000FF"/>
            <w:u w:val="single"/>
          </w:rPr>
          <w:t>www.bp.com/en/global/corporate/energy-economics/energy-outlook.html</w:t>
        </w:r>
      </w:hyperlink>
    </w:p>
    <w:p w:rsidR="00BF4BE9" w:rsidRPr="00BF4BE9" w:rsidRDefault="00BF4BE9" w:rsidP="003971F1">
      <w:pPr>
        <w:numPr>
          <w:ilvl w:val="0"/>
          <w:numId w:val="7"/>
        </w:numPr>
        <w:spacing w:after="0"/>
        <w:contextualSpacing/>
        <w:rPr>
          <w:rFonts w:cstheme="minorHAnsi"/>
        </w:rPr>
      </w:pPr>
      <w:r w:rsidRPr="00BF4BE9">
        <w:rPr>
          <w:rFonts w:cstheme="minorHAnsi"/>
        </w:rPr>
        <w:t>International Renewable Energy Agency, IRENA</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t>www.irena.org</w:t>
      </w:r>
    </w:p>
    <w:p w:rsidR="00BF4BE9" w:rsidRPr="00BF4BE9" w:rsidRDefault="00BF4BE9" w:rsidP="003971F1">
      <w:pPr>
        <w:numPr>
          <w:ilvl w:val="0"/>
          <w:numId w:val="7"/>
        </w:numPr>
        <w:spacing w:after="0"/>
        <w:contextualSpacing/>
        <w:rPr>
          <w:rFonts w:cstheme="minorHAnsi"/>
        </w:rPr>
      </w:pPr>
      <w:r w:rsidRPr="00BF4BE9">
        <w:rPr>
          <w:rFonts w:cstheme="minorHAnsi"/>
        </w:rPr>
        <w:t>World Energy Council publications</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t>www.worldenergy.org/publications/</w:t>
      </w:r>
    </w:p>
    <w:p w:rsidR="00BF4BE9" w:rsidRPr="00BF4BE9" w:rsidRDefault="00BF4BE9" w:rsidP="003971F1">
      <w:pPr>
        <w:numPr>
          <w:ilvl w:val="0"/>
          <w:numId w:val="7"/>
        </w:numPr>
        <w:spacing w:after="0"/>
        <w:contextualSpacing/>
        <w:rPr>
          <w:rFonts w:cstheme="minorHAnsi"/>
        </w:rPr>
      </w:pPr>
      <w:r w:rsidRPr="00BF4BE9">
        <w:rPr>
          <w:rFonts w:cstheme="minorHAnsi"/>
        </w:rPr>
        <w:t>The Economist Journal:  Articles and Special Reports on Energy</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t>www.economist.com/topics/energy-industry</w:t>
      </w:r>
    </w:p>
    <w:p w:rsidR="00BF4BE9" w:rsidRPr="00BF4BE9" w:rsidRDefault="00BF4BE9" w:rsidP="003971F1">
      <w:pPr>
        <w:numPr>
          <w:ilvl w:val="0"/>
          <w:numId w:val="7"/>
        </w:numPr>
        <w:spacing w:after="0"/>
        <w:contextualSpacing/>
        <w:rPr>
          <w:rFonts w:cstheme="minorHAnsi"/>
        </w:rPr>
      </w:pPr>
      <w:r w:rsidRPr="00BF4BE9">
        <w:rPr>
          <w:rFonts w:cstheme="minorHAnsi"/>
        </w:rPr>
        <w:t xml:space="preserve">McKinsey consulting:    </w:t>
      </w:r>
    </w:p>
    <w:p w:rsidR="00BF4BE9" w:rsidRPr="00BF4BE9" w:rsidRDefault="00C46FCE" w:rsidP="003971F1">
      <w:pPr>
        <w:spacing w:after="0"/>
        <w:ind w:left="1440"/>
        <w:contextualSpacing/>
        <w:rPr>
          <w:rFonts w:cstheme="minorHAnsi"/>
          <w:iCs/>
        </w:rPr>
      </w:pPr>
      <w:hyperlink r:id="rId12" w:history="1">
        <w:r w:rsidR="00BF4BE9" w:rsidRPr="00BF4BE9">
          <w:rPr>
            <w:rFonts w:eastAsia="Calibri" w:cstheme="minorHAnsi"/>
            <w:color w:val="0000FF"/>
            <w:u w:val="single"/>
          </w:rPr>
          <w:t>www.mckinsey.com/industries/electric-power-and-natural-gas/how-we-help-clients</w:t>
        </w:r>
      </w:hyperlink>
      <w:r w:rsidR="00BF4BE9" w:rsidRPr="00BF4BE9">
        <w:rPr>
          <w:rFonts w:eastAsia="Calibri" w:cstheme="minorHAnsi"/>
          <w:color w:val="0000FF"/>
          <w:u w:val="single"/>
        </w:rPr>
        <w:t xml:space="preserve"> </w:t>
      </w:r>
    </w:p>
    <w:p w:rsidR="00BF4BE9" w:rsidRPr="00BF4BE9" w:rsidRDefault="00BF4BE9" w:rsidP="003971F1">
      <w:pPr>
        <w:numPr>
          <w:ilvl w:val="0"/>
          <w:numId w:val="7"/>
        </w:numPr>
        <w:spacing w:after="0"/>
        <w:contextualSpacing/>
        <w:rPr>
          <w:rFonts w:cstheme="minorHAnsi"/>
          <w:iCs/>
        </w:rPr>
      </w:pPr>
      <w:r w:rsidRPr="00BF4BE9">
        <w:rPr>
          <w:rFonts w:cstheme="minorHAnsi"/>
          <w:iCs/>
        </w:rPr>
        <w:t xml:space="preserve">Deloitte consulting:    </w:t>
      </w:r>
    </w:p>
    <w:p w:rsidR="00BF4BE9" w:rsidRPr="00BF4BE9" w:rsidRDefault="00BF4BE9" w:rsidP="003971F1">
      <w:pPr>
        <w:spacing w:after="0"/>
        <w:ind w:left="1440"/>
        <w:contextualSpacing/>
        <w:rPr>
          <w:rFonts w:cstheme="minorHAnsi"/>
          <w:iCs/>
        </w:rPr>
      </w:pPr>
      <w:r w:rsidRPr="00BF4BE9">
        <w:rPr>
          <w:rFonts w:eastAsia="Calibri" w:cstheme="minorHAnsi"/>
          <w:color w:val="0000FF"/>
          <w:u w:val="single"/>
        </w:rPr>
        <w:t>www2.deloitte.com/global/en/industries/energy-resources-industrials.html</w:t>
      </w:r>
    </w:p>
    <w:p w:rsidR="00BF4BE9" w:rsidRPr="00BF4BE9" w:rsidRDefault="00BF4BE9" w:rsidP="003971F1">
      <w:pPr>
        <w:numPr>
          <w:ilvl w:val="0"/>
          <w:numId w:val="7"/>
        </w:numPr>
        <w:spacing w:after="0"/>
        <w:contextualSpacing/>
        <w:rPr>
          <w:rFonts w:cstheme="minorHAnsi"/>
          <w:iCs/>
        </w:rPr>
      </w:pPr>
      <w:r w:rsidRPr="00BF4BE9">
        <w:rPr>
          <w:rFonts w:cstheme="minorHAnsi"/>
          <w:iCs/>
        </w:rPr>
        <w:t>US Energy Information Administration (EIA) – Energy Explained webpage</w:t>
      </w:r>
    </w:p>
    <w:p w:rsidR="00BF4BE9" w:rsidRPr="00BF4BE9" w:rsidRDefault="00C46FCE" w:rsidP="003971F1">
      <w:pPr>
        <w:spacing w:after="0"/>
        <w:ind w:left="1440"/>
        <w:contextualSpacing/>
        <w:rPr>
          <w:rFonts w:cstheme="minorHAnsi"/>
        </w:rPr>
      </w:pPr>
      <w:hyperlink r:id="rId13" w:history="1">
        <w:r w:rsidR="00BF4BE9" w:rsidRPr="00BF4BE9">
          <w:rPr>
            <w:rFonts w:cstheme="minorHAnsi"/>
            <w:color w:val="0000FF"/>
            <w:u w:val="single"/>
          </w:rPr>
          <w:t>https://www.eia.gov/energyexplained/</w:t>
        </w:r>
      </w:hyperlink>
    </w:p>
    <w:p w:rsidR="00BF4BE9" w:rsidRPr="00BF4BE9" w:rsidRDefault="00BF4BE9" w:rsidP="003971F1">
      <w:pPr>
        <w:numPr>
          <w:ilvl w:val="0"/>
          <w:numId w:val="7"/>
        </w:numPr>
        <w:spacing w:after="0"/>
        <w:contextualSpacing/>
        <w:rPr>
          <w:rFonts w:cstheme="minorHAnsi"/>
        </w:rPr>
      </w:pPr>
      <w:r w:rsidRPr="00BF4BE9">
        <w:rPr>
          <w:rFonts w:cstheme="minorHAnsi"/>
        </w:rPr>
        <w:t>The Oxford Institute for Energy Studies</w:t>
      </w:r>
    </w:p>
    <w:p w:rsidR="00BF4BE9" w:rsidRPr="00BF4BE9" w:rsidRDefault="00C46FCE" w:rsidP="003971F1">
      <w:pPr>
        <w:spacing w:after="0"/>
        <w:ind w:left="1440"/>
        <w:contextualSpacing/>
        <w:rPr>
          <w:rFonts w:cstheme="minorHAnsi"/>
        </w:rPr>
      </w:pPr>
      <w:hyperlink r:id="rId14" w:history="1">
        <w:r w:rsidR="00BF4BE9" w:rsidRPr="00BF4BE9">
          <w:rPr>
            <w:rFonts w:cstheme="minorHAnsi"/>
            <w:color w:val="0000FF"/>
            <w:u w:val="single"/>
          </w:rPr>
          <w:t>www.oxfordenergy.org</w:t>
        </w:r>
      </w:hyperlink>
    </w:p>
    <w:p w:rsidR="00BF4BE9" w:rsidRPr="00BF4BE9" w:rsidRDefault="00BF4BE9" w:rsidP="003971F1">
      <w:pPr>
        <w:numPr>
          <w:ilvl w:val="0"/>
          <w:numId w:val="7"/>
        </w:numPr>
        <w:spacing w:after="0"/>
        <w:contextualSpacing/>
        <w:rPr>
          <w:rFonts w:cstheme="minorHAnsi"/>
        </w:rPr>
      </w:pPr>
      <w:r w:rsidRPr="00BF4BE9">
        <w:rPr>
          <w:rFonts w:cstheme="minorHAnsi"/>
        </w:rPr>
        <w:t>GTM research</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t>www.greentechmedia.com/research</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The World Nuclear Industry Status Reports</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Sustainable energy without the hot air. D. J. MacKay. Free pdf book.</w:t>
      </w:r>
    </w:p>
    <w:p w:rsidR="00BF4BE9" w:rsidRPr="00BF4BE9" w:rsidRDefault="00C46FCE" w:rsidP="003971F1">
      <w:pPr>
        <w:spacing w:after="0"/>
        <w:ind w:left="1440"/>
        <w:contextualSpacing/>
        <w:rPr>
          <w:rFonts w:eastAsia="Calibri" w:cstheme="minorHAnsi"/>
        </w:rPr>
      </w:pPr>
      <w:hyperlink r:id="rId15" w:history="1">
        <w:r w:rsidR="00BF4BE9" w:rsidRPr="00BF4BE9">
          <w:rPr>
            <w:rFonts w:eastAsia="Calibri" w:cstheme="minorHAnsi"/>
            <w:color w:val="0000FF"/>
            <w:u w:val="single"/>
          </w:rPr>
          <w:t>www.withouthotair.com/</w:t>
        </w:r>
      </w:hyperlink>
    </w:p>
    <w:p w:rsidR="00BF4BE9" w:rsidRPr="00BF4BE9" w:rsidRDefault="00BF4BE9" w:rsidP="003971F1">
      <w:pPr>
        <w:numPr>
          <w:ilvl w:val="0"/>
          <w:numId w:val="7"/>
        </w:numPr>
        <w:spacing w:after="0"/>
        <w:contextualSpacing/>
        <w:rPr>
          <w:rFonts w:cstheme="minorHAnsi"/>
        </w:rPr>
      </w:pPr>
      <w:r w:rsidRPr="00BF4BE9">
        <w:rPr>
          <w:rFonts w:cstheme="minorHAnsi"/>
        </w:rPr>
        <w:t>The Prize (Book): The Epic Quest for Oil, Money &amp; Power. D. Yergin. 2009. (focused on the history of oil industry)(Turkish version title: Petrol)</w:t>
      </w:r>
    </w:p>
    <w:p w:rsidR="00BF4BE9" w:rsidRPr="00BF4BE9" w:rsidRDefault="00BF4BE9" w:rsidP="003971F1">
      <w:pPr>
        <w:numPr>
          <w:ilvl w:val="0"/>
          <w:numId w:val="7"/>
        </w:numPr>
        <w:spacing w:after="0"/>
        <w:contextualSpacing/>
        <w:rPr>
          <w:rFonts w:cstheme="minorHAnsi"/>
        </w:rPr>
      </w:pPr>
      <w:r w:rsidRPr="00BF4BE9">
        <w:rPr>
          <w:rFonts w:cstheme="minorHAnsi"/>
        </w:rPr>
        <w:t>The Boom (Book): How Fracking Ignited the American Energy Revolution and Changed the World. Russell Gold. 2015.</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Oil 101 (Book). Morgen Downey. 2009.</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IICEC (Sabanci University Istanbul International Center for Energy and Climate)</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t>iicec.sabanciuniv.edu/</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Shura Energy Transition Center</w:t>
      </w:r>
    </w:p>
    <w:p w:rsidR="00BF4BE9" w:rsidRPr="00BF4BE9" w:rsidRDefault="00BF4BE9" w:rsidP="003971F1">
      <w:pPr>
        <w:spacing w:after="0"/>
        <w:ind w:left="1440"/>
        <w:contextualSpacing/>
        <w:rPr>
          <w:rFonts w:eastAsia="Calibri" w:cstheme="minorHAnsi"/>
          <w:color w:val="0000FF"/>
          <w:u w:val="single"/>
        </w:rPr>
      </w:pPr>
      <w:r w:rsidRPr="00BF4BE9">
        <w:rPr>
          <w:rFonts w:eastAsia="Calibri" w:cstheme="minorHAnsi"/>
          <w:color w:val="0000FF"/>
          <w:u w:val="single"/>
        </w:rPr>
        <w:lastRenderedPageBreak/>
        <w:t>www.shura.org.tr/eng/</w:t>
      </w:r>
    </w:p>
    <w:p w:rsidR="00BF4BE9" w:rsidRPr="00BF4BE9" w:rsidRDefault="00BF4BE9" w:rsidP="003971F1">
      <w:pPr>
        <w:numPr>
          <w:ilvl w:val="0"/>
          <w:numId w:val="7"/>
        </w:numPr>
        <w:spacing w:after="0"/>
        <w:contextualSpacing/>
        <w:rPr>
          <w:rFonts w:eastAsia="Calibri" w:cstheme="minorHAnsi"/>
        </w:rPr>
      </w:pPr>
      <w:r w:rsidRPr="00BF4BE9">
        <w:rPr>
          <w:rFonts w:eastAsia="Calibri" w:cstheme="minorHAnsi"/>
        </w:rPr>
        <w:t>The Global Politics of Energy. Campbell and Price</w:t>
      </w:r>
    </w:p>
    <w:p w:rsidR="00BF4BE9" w:rsidRPr="00BF4BE9" w:rsidRDefault="00BF4BE9" w:rsidP="003971F1">
      <w:pPr>
        <w:numPr>
          <w:ilvl w:val="0"/>
          <w:numId w:val="7"/>
        </w:numPr>
        <w:spacing w:after="0"/>
        <w:rPr>
          <w:rFonts w:eastAsia="Arial Unicode MS" w:cstheme="minorHAnsi"/>
          <w:b/>
          <w:bCs/>
        </w:rPr>
      </w:pPr>
      <w:r w:rsidRPr="00BF4BE9">
        <w:rPr>
          <w:rFonts w:eastAsia="Arial Unicode MS" w:cstheme="minorHAnsi"/>
          <w:iCs/>
        </w:rPr>
        <w:t xml:space="preserve">Ahmet O. Evin, </w:t>
      </w:r>
      <w:r w:rsidRPr="00BF4BE9">
        <w:rPr>
          <w:rFonts w:eastAsia="Arial Unicode MS" w:cstheme="minorHAnsi"/>
          <w:bCs/>
        </w:rPr>
        <w:t>Energy and Turkey’s Neighborhood: Post Soviet Transformations and Transatlantic Interests</w:t>
      </w:r>
      <w:r w:rsidRPr="00BF4BE9">
        <w:rPr>
          <w:rFonts w:eastAsia="Arial Unicode MS" w:cstheme="minorHAnsi"/>
          <w:b/>
          <w:bCs/>
        </w:rPr>
        <w:t xml:space="preserve"> </w:t>
      </w:r>
    </w:p>
    <w:p w:rsidR="00BF4BE9" w:rsidRPr="00BF4BE9" w:rsidRDefault="00BF4BE9" w:rsidP="003971F1">
      <w:pPr>
        <w:numPr>
          <w:ilvl w:val="0"/>
          <w:numId w:val="7"/>
        </w:numPr>
        <w:spacing w:after="0"/>
        <w:rPr>
          <w:rFonts w:eastAsia="Arial Unicode MS" w:cstheme="minorHAnsi"/>
          <w:bCs/>
        </w:rPr>
      </w:pPr>
      <w:r w:rsidRPr="00BF4BE9">
        <w:rPr>
          <w:rFonts w:eastAsia="Arial Unicode MS" w:cstheme="minorHAnsi"/>
          <w:bCs/>
        </w:rPr>
        <w:t>Ahmet O. Evin, Turkey’s Energy Policy and the EU’s Energy Demand</w:t>
      </w:r>
    </w:p>
    <w:p w:rsidR="00BF4BE9" w:rsidRPr="00BF4BE9" w:rsidRDefault="00BF4BE9" w:rsidP="003971F1">
      <w:pPr>
        <w:numPr>
          <w:ilvl w:val="0"/>
          <w:numId w:val="7"/>
        </w:numPr>
        <w:spacing w:after="0"/>
        <w:rPr>
          <w:rFonts w:eastAsia="Arial Unicode MS" w:cstheme="minorHAnsi"/>
          <w:b/>
          <w:bCs/>
        </w:rPr>
      </w:pPr>
      <w:r w:rsidRPr="00BF4BE9">
        <w:rPr>
          <w:rFonts w:eastAsia="Arial Unicode MS" w:cstheme="minorHAnsi"/>
          <w:bCs/>
        </w:rPr>
        <w:t>Ahmet O. Evin, The Future of the EU's Gas Dependence on Russia</w:t>
      </w:r>
    </w:p>
    <w:p w:rsidR="00BF4BE9" w:rsidRPr="00BF4BE9" w:rsidRDefault="00BF4BE9" w:rsidP="003971F1">
      <w:pPr>
        <w:numPr>
          <w:ilvl w:val="0"/>
          <w:numId w:val="7"/>
        </w:numPr>
        <w:spacing w:after="0"/>
        <w:rPr>
          <w:rFonts w:eastAsia="Arial Unicode MS" w:cstheme="minorHAnsi"/>
          <w:bCs/>
        </w:rPr>
      </w:pPr>
      <w:r w:rsidRPr="00BF4BE9">
        <w:rPr>
          <w:rFonts w:eastAsia="Arial Unicode MS" w:cstheme="minorHAnsi"/>
          <w:bCs/>
        </w:rPr>
        <w:t xml:space="preserve">Jamestown Foundation, Eurasia Daily Monitor </w:t>
      </w:r>
    </w:p>
    <w:p w:rsidR="00BF4BE9" w:rsidRDefault="00C46FCE" w:rsidP="003971F1">
      <w:pPr>
        <w:spacing w:after="0"/>
        <w:ind w:left="1440"/>
        <w:rPr>
          <w:rFonts w:eastAsia="Times New Roman" w:cstheme="minorHAnsi"/>
          <w:b/>
          <w:u w:val="single"/>
        </w:rPr>
      </w:pPr>
      <w:hyperlink r:id="rId16" w:history="1">
        <w:r w:rsidR="00BF4BE9" w:rsidRPr="00BF4BE9">
          <w:rPr>
            <w:rFonts w:eastAsia="Arial Unicode MS" w:cstheme="minorHAnsi"/>
            <w:bCs/>
            <w:color w:val="0000FF"/>
            <w:u w:val="single"/>
          </w:rPr>
          <w:t>www.jamestown.org/programs/edm/</w:t>
        </w:r>
      </w:hyperlink>
    </w:p>
    <w:p w:rsidR="00BF4BE9" w:rsidRDefault="00BF4BE9" w:rsidP="003971F1">
      <w:pPr>
        <w:spacing w:after="0"/>
        <w:rPr>
          <w:rFonts w:eastAsia="Times New Roman" w:cstheme="minorHAnsi"/>
          <w:b/>
          <w:u w:val="single"/>
        </w:rPr>
      </w:pPr>
    </w:p>
    <w:p w:rsidR="00207906" w:rsidRDefault="00207906" w:rsidP="003971F1">
      <w:pPr>
        <w:spacing w:after="0"/>
        <w:rPr>
          <w:rFonts w:eastAsia="Arial Unicode MS" w:cstheme="minorHAnsi"/>
          <w:b/>
          <w:color w:val="000000"/>
          <w:u w:val="single"/>
        </w:rPr>
      </w:pPr>
    </w:p>
    <w:p w:rsidR="006C1677" w:rsidRPr="006F4A09" w:rsidRDefault="006C1677" w:rsidP="003971F1">
      <w:pPr>
        <w:spacing w:after="0"/>
        <w:rPr>
          <w:rFonts w:eastAsia="Arial Unicode MS" w:cstheme="minorHAnsi"/>
          <w:b/>
          <w:color w:val="000000"/>
          <w:u w:val="single"/>
        </w:rPr>
      </w:pPr>
    </w:p>
    <w:p w:rsidR="0080746D" w:rsidRPr="006F4A09" w:rsidRDefault="00B503A5" w:rsidP="003971F1">
      <w:pPr>
        <w:spacing w:after="0"/>
        <w:rPr>
          <w:rFonts w:cstheme="minorHAnsi"/>
          <w:b/>
          <w:u w:val="single"/>
        </w:rPr>
      </w:pPr>
      <w:r w:rsidRPr="006F4A09">
        <w:rPr>
          <w:rFonts w:cstheme="minorHAnsi"/>
          <w:b/>
          <w:u w:val="single"/>
        </w:rPr>
        <w:t xml:space="preserve">Course </w:t>
      </w:r>
      <w:r w:rsidR="00EE0AC5" w:rsidRPr="006F4A09">
        <w:rPr>
          <w:rFonts w:cstheme="minorHAnsi"/>
          <w:b/>
          <w:u w:val="single"/>
        </w:rPr>
        <w:t>Schedule</w:t>
      </w:r>
    </w:p>
    <w:p w:rsidR="008F1361" w:rsidRDefault="008F1361" w:rsidP="003971F1">
      <w:pPr>
        <w:pStyle w:val="NormalWeb"/>
        <w:spacing w:before="0" w:beforeAutospacing="0" w:after="0" w:afterAutospacing="0" w:line="276" w:lineRule="auto"/>
        <w:rPr>
          <w:rFonts w:asciiTheme="minorHAnsi" w:hAnsiTheme="minorHAnsi" w:cstheme="minorHAnsi"/>
          <w:b/>
          <w:bCs/>
          <w:color w:val="auto"/>
          <w:sz w:val="22"/>
          <w:szCs w:val="22"/>
        </w:rPr>
      </w:pPr>
    </w:p>
    <w:tbl>
      <w:tblPr>
        <w:tblW w:w="9063" w:type="dxa"/>
        <w:tblInd w:w="-10" w:type="dxa"/>
        <w:tblLook w:val="04A0" w:firstRow="1" w:lastRow="0" w:firstColumn="1" w:lastColumn="0" w:noHBand="0" w:noVBand="1"/>
      </w:tblPr>
      <w:tblGrid>
        <w:gridCol w:w="906"/>
        <w:gridCol w:w="984"/>
        <w:gridCol w:w="990"/>
        <w:gridCol w:w="4860"/>
        <w:gridCol w:w="1323"/>
      </w:tblGrid>
      <w:tr w:rsidR="008F1361" w:rsidRPr="008F1361" w:rsidTr="00596B1A">
        <w:trPr>
          <w:trHeight w:val="599"/>
        </w:trPr>
        <w:tc>
          <w:tcPr>
            <w:tcW w:w="9063" w:type="dxa"/>
            <w:gridSpan w:val="5"/>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8F1361" w:rsidRPr="008F1361" w:rsidRDefault="008F1361" w:rsidP="003971F1">
            <w:pPr>
              <w:spacing w:after="0"/>
              <w:jc w:val="center"/>
              <w:rPr>
                <w:rFonts w:ascii="Calibri" w:eastAsia="Times New Roman" w:hAnsi="Calibri" w:cs="Calibri"/>
                <w:b/>
                <w:bCs/>
                <w:color w:val="000000"/>
                <w:sz w:val="24"/>
                <w:szCs w:val="24"/>
              </w:rPr>
            </w:pPr>
            <w:r w:rsidRPr="008F1361">
              <w:rPr>
                <w:rFonts w:ascii="Calibri" w:eastAsia="Times New Roman" w:hAnsi="Calibri" w:cs="Calibri"/>
                <w:b/>
                <w:bCs/>
                <w:color w:val="000000"/>
                <w:sz w:val="24"/>
                <w:szCs w:val="24"/>
              </w:rPr>
              <w:t xml:space="preserve">ETM 501 </w:t>
            </w:r>
          </w:p>
          <w:p w:rsidR="008F1361" w:rsidRPr="008F1361" w:rsidRDefault="008F1361" w:rsidP="003971F1">
            <w:pPr>
              <w:spacing w:after="0"/>
              <w:jc w:val="center"/>
              <w:rPr>
                <w:rFonts w:ascii="Calibri" w:eastAsia="Times New Roman" w:hAnsi="Calibri" w:cs="Calibri"/>
                <w:b/>
                <w:bCs/>
                <w:sz w:val="20"/>
                <w:szCs w:val="40"/>
              </w:rPr>
            </w:pPr>
            <w:r w:rsidRPr="008F1361">
              <w:rPr>
                <w:rFonts w:ascii="Calibri" w:eastAsia="Times New Roman" w:hAnsi="Calibri" w:cs="Calibri"/>
                <w:b/>
                <w:bCs/>
                <w:color w:val="000000"/>
                <w:sz w:val="24"/>
                <w:szCs w:val="24"/>
              </w:rPr>
              <w:t>Energy: Economy and Politics</w:t>
            </w:r>
            <w:r>
              <w:rPr>
                <w:rFonts w:ascii="Calibri" w:eastAsia="Times New Roman" w:hAnsi="Calibri" w:cs="Calibri"/>
                <w:b/>
                <w:bCs/>
                <w:color w:val="000000"/>
                <w:sz w:val="20"/>
                <w:szCs w:val="24"/>
              </w:rPr>
              <w:t xml:space="preserve"> </w:t>
            </w:r>
          </w:p>
        </w:tc>
      </w:tr>
      <w:tr w:rsidR="008F1361" w:rsidRPr="008F1361" w:rsidTr="003971F1">
        <w:trPr>
          <w:trHeight w:val="360"/>
        </w:trPr>
        <w:tc>
          <w:tcPr>
            <w:tcW w:w="2880" w:type="dxa"/>
            <w:gridSpan w:val="3"/>
            <w:tcBorders>
              <w:top w:val="single" w:sz="8" w:space="0" w:color="auto"/>
              <w:left w:val="single" w:sz="8" w:space="0" w:color="auto"/>
              <w:bottom w:val="single" w:sz="8" w:space="0" w:color="000000"/>
              <w:right w:val="single" w:sz="4" w:space="0" w:color="auto"/>
            </w:tcBorders>
            <w:shd w:val="clear" w:color="000000" w:fill="FFFFFF"/>
            <w:vAlign w:val="center"/>
            <w:hideMark/>
          </w:tcPr>
          <w:p w:rsidR="008F1361" w:rsidRDefault="008F1361" w:rsidP="003971F1">
            <w:pPr>
              <w:spacing w:after="0"/>
              <w:jc w:val="center"/>
              <w:rPr>
                <w:rFonts w:ascii="Calibri" w:eastAsia="Times New Roman" w:hAnsi="Calibri" w:cs="Calibri"/>
                <w:b/>
                <w:bCs/>
                <w:szCs w:val="40"/>
              </w:rPr>
            </w:pPr>
            <w:r w:rsidRPr="008F1361">
              <w:rPr>
                <w:rFonts w:ascii="Calibri" w:eastAsia="Times New Roman" w:hAnsi="Calibri" w:cs="Calibri"/>
                <w:b/>
                <w:bCs/>
                <w:szCs w:val="40"/>
              </w:rPr>
              <w:t>Date and Time</w:t>
            </w:r>
          </w:p>
          <w:p w:rsidR="003971F1" w:rsidRDefault="00373D81" w:rsidP="003971F1">
            <w:pPr>
              <w:spacing w:after="0"/>
              <w:jc w:val="center"/>
              <w:rPr>
                <w:rFonts w:ascii="Calibri" w:eastAsia="Times New Roman" w:hAnsi="Calibri" w:cs="Calibri"/>
                <w:bCs/>
                <w:i/>
                <w:color w:val="000000"/>
                <w:sz w:val="20"/>
                <w:szCs w:val="24"/>
              </w:rPr>
            </w:pPr>
            <w:r>
              <w:rPr>
                <w:rFonts w:ascii="Calibri" w:eastAsia="Times New Roman" w:hAnsi="Calibri" w:cs="Calibri"/>
                <w:bCs/>
                <w:i/>
                <w:color w:val="000000"/>
                <w:sz w:val="20"/>
                <w:szCs w:val="24"/>
              </w:rPr>
              <w:t xml:space="preserve">(Sat. 13.00-15.45, </w:t>
            </w:r>
          </w:p>
          <w:p w:rsidR="008F1361" w:rsidRPr="00373D81" w:rsidRDefault="00373D81" w:rsidP="003971F1">
            <w:pPr>
              <w:spacing w:after="0"/>
              <w:jc w:val="center"/>
              <w:rPr>
                <w:rFonts w:ascii="Calibri" w:eastAsia="Times New Roman" w:hAnsi="Calibri" w:cs="Calibri"/>
                <w:bCs/>
                <w:i/>
                <w:color w:val="000000"/>
                <w:sz w:val="20"/>
                <w:szCs w:val="24"/>
              </w:rPr>
            </w:pPr>
            <w:r>
              <w:rPr>
                <w:rFonts w:ascii="Calibri" w:eastAsia="Times New Roman" w:hAnsi="Calibri" w:cs="Calibri"/>
                <w:bCs/>
                <w:i/>
                <w:color w:val="000000"/>
                <w:sz w:val="20"/>
                <w:szCs w:val="24"/>
              </w:rPr>
              <w:t xml:space="preserve">Tue </w:t>
            </w:r>
            <w:r w:rsidR="008F1361" w:rsidRPr="008F1361">
              <w:rPr>
                <w:rFonts w:ascii="Calibri" w:eastAsia="Times New Roman" w:hAnsi="Calibri" w:cs="Calibri"/>
                <w:bCs/>
                <w:i/>
                <w:color w:val="000000"/>
                <w:sz w:val="20"/>
                <w:szCs w:val="24"/>
              </w:rPr>
              <w:t>19.00-21.45)</w:t>
            </w:r>
          </w:p>
        </w:tc>
        <w:tc>
          <w:tcPr>
            <w:tcW w:w="4860" w:type="dxa"/>
            <w:tcBorders>
              <w:top w:val="nil"/>
              <w:left w:val="nil"/>
              <w:bottom w:val="single" w:sz="8" w:space="0" w:color="auto"/>
              <w:right w:val="single" w:sz="4" w:space="0" w:color="auto"/>
            </w:tcBorders>
            <w:shd w:val="clear" w:color="auto" w:fill="FFFFFF" w:themeFill="background1"/>
            <w:noWrap/>
            <w:vAlign w:val="center"/>
            <w:hideMark/>
          </w:tcPr>
          <w:p w:rsidR="008F1361" w:rsidRPr="008F1361" w:rsidRDefault="008F1361" w:rsidP="003971F1">
            <w:pPr>
              <w:spacing w:after="0"/>
              <w:jc w:val="center"/>
              <w:rPr>
                <w:rFonts w:ascii="Calibri" w:eastAsia="Times New Roman" w:hAnsi="Calibri" w:cs="Calibri"/>
                <w:b/>
                <w:bCs/>
                <w:color w:val="000000"/>
                <w:szCs w:val="24"/>
              </w:rPr>
            </w:pPr>
            <w:r w:rsidRPr="008F1361">
              <w:rPr>
                <w:rFonts w:ascii="Calibri" w:eastAsia="Times New Roman" w:hAnsi="Calibri" w:cs="Calibri"/>
                <w:b/>
                <w:bCs/>
                <w:color w:val="000000"/>
                <w:szCs w:val="24"/>
              </w:rPr>
              <w:t>Topic</w:t>
            </w:r>
          </w:p>
        </w:tc>
        <w:tc>
          <w:tcPr>
            <w:tcW w:w="1323" w:type="dxa"/>
            <w:tcBorders>
              <w:top w:val="nil"/>
              <w:left w:val="nil"/>
              <w:bottom w:val="single" w:sz="8" w:space="0" w:color="auto"/>
              <w:right w:val="single" w:sz="8" w:space="0" w:color="auto"/>
            </w:tcBorders>
            <w:shd w:val="clear" w:color="auto" w:fill="FFFFFF" w:themeFill="background1"/>
            <w:noWrap/>
            <w:vAlign w:val="center"/>
            <w:hideMark/>
          </w:tcPr>
          <w:p w:rsidR="008F1361" w:rsidRPr="008F1361" w:rsidRDefault="008F1361" w:rsidP="003971F1">
            <w:pPr>
              <w:spacing w:after="0"/>
              <w:jc w:val="center"/>
              <w:rPr>
                <w:rFonts w:ascii="Calibri" w:eastAsia="Times New Roman" w:hAnsi="Calibri" w:cs="Calibri"/>
                <w:b/>
                <w:bCs/>
                <w:color w:val="000000"/>
                <w:szCs w:val="24"/>
              </w:rPr>
            </w:pPr>
            <w:r w:rsidRPr="008F1361">
              <w:rPr>
                <w:rFonts w:ascii="Calibri" w:eastAsia="Times New Roman" w:hAnsi="Calibri" w:cs="Calibri"/>
                <w:b/>
                <w:bCs/>
                <w:color w:val="000000"/>
                <w:szCs w:val="24"/>
              </w:rPr>
              <w:t>Instructor</w:t>
            </w:r>
          </w:p>
        </w:tc>
      </w:tr>
      <w:tr w:rsidR="008F1361" w:rsidRPr="008F1361" w:rsidTr="003971F1">
        <w:trPr>
          <w:trHeight w:val="360"/>
        </w:trPr>
        <w:tc>
          <w:tcPr>
            <w:tcW w:w="90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Week-1</w:t>
            </w: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bCs/>
                <w:color w:val="000000"/>
                <w:sz w:val="20"/>
                <w:szCs w:val="24"/>
              </w:rPr>
            </w:pPr>
            <w:r>
              <w:rPr>
                <w:rFonts w:ascii="Calibri" w:eastAsia="Times New Roman" w:hAnsi="Calibri" w:cs="Calibri"/>
                <w:bCs/>
                <w:color w:val="000000"/>
                <w:sz w:val="20"/>
                <w:szCs w:val="24"/>
              </w:rPr>
              <w:t xml:space="preserve">3 </w:t>
            </w:r>
            <w:r w:rsidR="008F1361" w:rsidRPr="008F1361">
              <w:rPr>
                <w:rFonts w:ascii="Calibri" w:eastAsia="Times New Roman" w:hAnsi="Calibri" w:cs="Calibri"/>
                <w:bCs/>
                <w:color w:val="000000"/>
                <w:sz w:val="20"/>
                <w:szCs w:val="24"/>
              </w:rPr>
              <w:t>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bCs/>
                <w:color w:val="000000"/>
                <w:sz w:val="20"/>
                <w:szCs w:val="24"/>
              </w:rPr>
            </w:pPr>
            <w:r>
              <w:rPr>
                <w:rFonts w:ascii="Calibri" w:eastAsia="Times New Roman" w:hAnsi="Calibri" w:cs="Calibri"/>
                <w:bCs/>
                <w:color w:val="000000"/>
                <w:sz w:val="20"/>
                <w:szCs w:val="24"/>
              </w:rPr>
              <w:t>Saturday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 xml:space="preserve">Introduction:  </w:t>
            </w:r>
            <w:r w:rsidR="00373D81">
              <w:rPr>
                <w:rFonts w:ascii="Calibri" w:eastAsia="Times New Roman" w:hAnsi="Calibri" w:cs="Calibri"/>
                <w:color w:val="000000"/>
                <w:sz w:val="20"/>
                <w:szCs w:val="24"/>
              </w:rPr>
              <w:t>Energy &amp; Electricity</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3971F1">
        <w:trPr>
          <w:trHeight w:val="300"/>
        </w:trPr>
        <w:tc>
          <w:tcPr>
            <w:tcW w:w="906" w:type="dxa"/>
            <w:vMerge/>
            <w:tcBorders>
              <w:top w:val="nil"/>
              <w:left w:val="single" w:sz="8" w:space="0" w:color="auto"/>
              <w:bottom w:val="single" w:sz="4" w:space="0" w:color="auto"/>
              <w:right w:val="single" w:sz="4" w:space="0" w:color="auto"/>
            </w:tcBorders>
            <w:vAlign w:val="center"/>
            <w:hideMark/>
          </w:tcPr>
          <w:p w:rsidR="008F1361" w:rsidRPr="008F1361" w:rsidRDefault="008F136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6</w:t>
            </w:r>
            <w:r w:rsidR="008F1361"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Oil</w:t>
            </w:r>
            <w:r w:rsidR="00373D81">
              <w:rPr>
                <w:rFonts w:ascii="Calibri" w:eastAsia="Times New Roman" w:hAnsi="Calibri" w:cs="Calibri"/>
                <w:color w:val="000000"/>
                <w:sz w:val="20"/>
                <w:szCs w:val="24"/>
              </w:rPr>
              <w:t>-1</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3971F1">
        <w:trPr>
          <w:trHeight w:val="314"/>
        </w:trPr>
        <w:tc>
          <w:tcPr>
            <w:tcW w:w="90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Week-2</w:t>
            </w: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10</w:t>
            </w:r>
            <w:r w:rsidR="008F1361"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Oil</w:t>
            </w:r>
            <w:r w:rsidR="007A3D61">
              <w:rPr>
                <w:rFonts w:ascii="Calibri" w:eastAsia="Times New Roman" w:hAnsi="Calibri" w:cs="Calibri"/>
                <w:color w:val="000000"/>
                <w:sz w:val="20"/>
                <w:szCs w:val="24"/>
              </w:rPr>
              <w:t>-2</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3971F1">
        <w:trPr>
          <w:trHeight w:val="360"/>
        </w:trPr>
        <w:tc>
          <w:tcPr>
            <w:tcW w:w="906" w:type="dxa"/>
            <w:vMerge/>
            <w:tcBorders>
              <w:top w:val="nil"/>
              <w:left w:val="single" w:sz="8" w:space="0" w:color="auto"/>
              <w:bottom w:val="single" w:sz="4" w:space="0" w:color="auto"/>
              <w:right w:val="single" w:sz="4" w:space="0" w:color="auto"/>
            </w:tcBorders>
            <w:vAlign w:val="center"/>
            <w:hideMark/>
          </w:tcPr>
          <w:p w:rsidR="008F1361" w:rsidRPr="008F1361" w:rsidRDefault="008F136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13</w:t>
            </w:r>
            <w:r w:rsidR="008F1361"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3220B9"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 xml:space="preserve">Natural </w:t>
            </w:r>
            <w:r w:rsidR="00373D81">
              <w:rPr>
                <w:rFonts w:ascii="Calibri" w:eastAsia="Times New Roman" w:hAnsi="Calibri" w:cs="Calibri"/>
                <w:color w:val="000000"/>
                <w:sz w:val="20"/>
                <w:szCs w:val="24"/>
              </w:rPr>
              <w:t>Gas</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3971F1">
        <w:trPr>
          <w:trHeight w:val="334"/>
        </w:trPr>
        <w:tc>
          <w:tcPr>
            <w:tcW w:w="90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Week-3</w:t>
            </w: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17</w:t>
            </w:r>
            <w:r w:rsidR="008F1361"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Coal &amp; Nuclear</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661F55">
        <w:trPr>
          <w:trHeight w:val="360"/>
        </w:trPr>
        <w:tc>
          <w:tcPr>
            <w:tcW w:w="906" w:type="dxa"/>
            <w:vMerge/>
            <w:tcBorders>
              <w:top w:val="nil"/>
              <w:left w:val="single" w:sz="8" w:space="0" w:color="auto"/>
              <w:bottom w:val="single" w:sz="4" w:space="0" w:color="auto"/>
              <w:right w:val="single" w:sz="4" w:space="0" w:color="auto"/>
            </w:tcBorders>
            <w:vAlign w:val="center"/>
            <w:hideMark/>
          </w:tcPr>
          <w:p w:rsidR="008F1361" w:rsidRPr="008F1361" w:rsidRDefault="008F136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20</w:t>
            </w:r>
            <w:r w:rsidR="008F1361"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8F136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Renewables-1</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8F1361" w:rsidRPr="008F1361" w:rsidRDefault="008F1361" w:rsidP="003971F1">
            <w:pPr>
              <w:spacing w:after="0"/>
              <w:rPr>
                <w:rFonts w:ascii="Calibri" w:eastAsia="Times New Roman" w:hAnsi="Calibri" w:cs="Calibri"/>
                <w:color w:val="000000"/>
                <w:sz w:val="20"/>
                <w:szCs w:val="24"/>
              </w:rPr>
            </w:pPr>
            <w:r w:rsidRPr="008F1361">
              <w:rPr>
                <w:rFonts w:ascii="Calibri" w:eastAsia="Times New Roman" w:hAnsi="Calibri" w:cs="Calibri"/>
                <w:color w:val="000000"/>
                <w:sz w:val="20"/>
                <w:szCs w:val="24"/>
              </w:rPr>
              <w:t>Murat Kaya</w:t>
            </w:r>
          </w:p>
        </w:tc>
      </w:tr>
      <w:tr w:rsidR="008F1361" w:rsidRPr="008F1361" w:rsidTr="00661F55">
        <w:trPr>
          <w:trHeight w:val="334"/>
        </w:trPr>
        <w:tc>
          <w:tcPr>
            <w:tcW w:w="906" w:type="dxa"/>
            <w:vMerge w:val="restart"/>
            <w:tcBorders>
              <w:top w:val="single" w:sz="4" w:space="0" w:color="auto"/>
              <w:left w:val="single" w:sz="8"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Week-4</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8F136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24</w:t>
            </w:r>
            <w:r w:rsidR="008F1361" w:rsidRPr="008F1361">
              <w:rPr>
                <w:rFonts w:ascii="Calibri" w:eastAsia="Times New Roman" w:hAnsi="Calibri" w:cs="Calibri"/>
                <w:color w:val="000000"/>
                <w:sz w:val="20"/>
                <w:szCs w:val="24"/>
              </w:rPr>
              <w:t xml:space="preserve"> Oct.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F1361" w:rsidRPr="008F1361" w:rsidRDefault="008F136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single" w:sz="4" w:space="0" w:color="auto"/>
              <w:left w:val="nil"/>
              <w:bottom w:val="single" w:sz="4" w:space="0" w:color="auto"/>
              <w:right w:val="single" w:sz="4" w:space="0" w:color="auto"/>
            </w:tcBorders>
            <w:shd w:val="clear" w:color="auto" w:fill="FFFFFF" w:themeFill="background1"/>
            <w:noWrap/>
            <w:vAlign w:val="center"/>
          </w:tcPr>
          <w:p w:rsidR="008F136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Renewables-2</w:t>
            </w:r>
          </w:p>
        </w:tc>
        <w:tc>
          <w:tcPr>
            <w:tcW w:w="13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F1361" w:rsidRPr="008F1361" w:rsidRDefault="00327B6E"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Murat Kaya</w:t>
            </w:r>
          </w:p>
        </w:tc>
      </w:tr>
      <w:tr w:rsidR="00373D81" w:rsidRPr="008F1361" w:rsidTr="00661F55">
        <w:trPr>
          <w:trHeight w:val="310"/>
        </w:trPr>
        <w:tc>
          <w:tcPr>
            <w:tcW w:w="906" w:type="dxa"/>
            <w:vMerge/>
            <w:tcBorders>
              <w:left w:val="single" w:sz="8" w:space="0" w:color="auto"/>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27</w:t>
            </w:r>
            <w:r w:rsidRPr="008F1361">
              <w:rPr>
                <w:rFonts w:ascii="Calibri" w:eastAsia="Times New Roman" w:hAnsi="Calibri" w:cs="Calibri"/>
                <w:color w:val="000000"/>
                <w:sz w:val="20"/>
                <w:szCs w:val="24"/>
              </w:rPr>
              <w:t xml:space="preserve"> Oct.</w:t>
            </w:r>
          </w:p>
        </w:tc>
        <w:tc>
          <w:tcPr>
            <w:tcW w:w="990"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 xml:space="preserve">The Geopolitics of </w:t>
            </w:r>
            <w:r w:rsidR="00E85DD2" w:rsidRPr="00546317">
              <w:rPr>
                <w:rFonts w:ascii="Calibri" w:eastAsia="Times New Roman" w:hAnsi="Calibri" w:cs="Calibri"/>
                <w:color w:val="000000"/>
                <w:sz w:val="20"/>
                <w:szCs w:val="24"/>
              </w:rPr>
              <w:t>Energy Yesterday and Today</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373D81" w:rsidRPr="00546317" w:rsidRDefault="00327B6E"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661F55">
        <w:trPr>
          <w:trHeight w:val="300"/>
        </w:trPr>
        <w:tc>
          <w:tcPr>
            <w:tcW w:w="90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Week-5</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31 Oct</w:t>
            </w:r>
            <w:r w:rsidRPr="008F1361">
              <w:rPr>
                <w:rFonts w:ascii="Calibri" w:eastAsia="Times New Roman" w:hAnsi="Calibri" w:cs="Calibri"/>
                <w:color w:val="000000"/>
                <w:sz w:val="20"/>
                <w:szCs w:val="24"/>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Domination and Dependence: the U.S. and Middle East</w:t>
            </w:r>
          </w:p>
        </w:tc>
        <w:tc>
          <w:tcPr>
            <w:tcW w:w="13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3971F1">
        <w:trPr>
          <w:trHeight w:val="323"/>
        </w:trPr>
        <w:tc>
          <w:tcPr>
            <w:tcW w:w="906" w:type="dxa"/>
            <w:vMerge/>
            <w:tcBorders>
              <w:top w:val="nil"/>
              <w:left w:val="single" w:sz="8" w:space="0" w:color="auto"/>
              <w:bottom w:val="single" w:sz="4" w:space="0" w:color="auto"/>
              <w:right w:val="single" w:sz="4" w:space="0" w:color="auto"/>
            </w:tcBorders>
            <w:vAlign w:val="center"/>
            <w:hideMark/>
          </w:tcPr>
          <w:p w:rsidR="00373D81" w:rsidRPr="008F1361" w:rsidRDefault="00373D8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3</w:t>
            </w:r>
            <w:r w:rsidRPr="008F1361">
              <w:rPr>
                <w:rFonts w:ascii="Calibri" w:eastAsia="Times New Roman" w:hAnsi="Calibri" w:cs="Calibri"/>
                <w:color w:val="000000"/>
                <w:sz w:val="20"/>
                <w:szCs w:val="24"/>
              </w:rPr>
              <w:t xml:space="preserve"> Nov.</w:t>
            </w:r>
          </w:p>
        </w:tc>
        <w:tc>
          <w:tcPr>
            <w:tcW w:w="990"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Emerging Actors: China, India, Africa</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3971F1">
        <w:trPr>
          <w:trHeight w:val="323"/>
        </w:trPr>
        <w:tc>
          <w:tcPr>
            <w:tcW w:w="90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Week-6</w:t>
            </w:r>
          </w:p>
        </w:tc>
        <w:tc>
          <w:tcPr>
            <w:tcW w:w="984"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7</w:t>
            </w:r>
            <w:r w:rsidRPr="008F1361">
              <w:rPr>
                <w:rFonts w:ascii="Calibri" w:eastAsia="Times New Roman" w:hAnsi="Calibri" w:cs="Calibri"/>
                <w:color w:val="000000"/>
                <w:sz w:val="20"/>
                <w:szCs w:val="24"/>
              </w:rPr>
              <w:t xml:space="preserve"> Nov.</w:t>
            </w:r>
          </w:p>
        </w:tc>
        <w:tc>
          <w:tcPr>
            <w:tcW w:w="990"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 xml:space="preserve">Russia and Eurasia </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3971F1">
        <w:trPr>
          <w:trHeight w:val="323"/>
        </w:trPr>
        <w:tc>
          <w:tcPr>
            <w:tcW w:w="906" w:type="dxa"/>
            <w:vMerge/>
            <w:tcBorders>
              <w:top w:val="nil"/>
              <w:left w:val="single" w:sz="8" w:space="0" w:color="auto"/>
              <w:bottom w:val="single" w:sz="4" w:space="0" w:color="auto"/>
              <w:right w:val="single" w:sz="4" w:space="0" w:color="auto"/>
            </w:tcBorders>
            <w:vAlign w:val="center"/>
            <w:hideMark/>
          </w:tcPr>
          <w:p w:rsidR="00373D81" w:rsidRPr="008F1361" w:rsidRDefault="00373D81" w:rsidP="003971F1">
            <w:pPr>
              <w:spacing w:after="0"/>
              <w:rPr>
                <w:rFonts w:ascii="Calibri" w:eastAsia="Times New Roman" w:hAnsi="Calibri" w:cs="Calibri"/>
                <w:b/>
                <w:bCs/>
                <w:color w:val="000000"/>
                <w:sz w:val="18"/>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10</w:t>
            </w:r>
            <w:r w:rsidRPr="008F1361">
              <w:rPr>
                <w:rFonts w:ascii="Calibri" w:eastAsia="Times New Roman" w:hAnsi="Calibri" w:cs="Calibri"/>
                <w:color w:val="000000"/>
                <w:sz w:val="20"/>
                <w:szCs w:val="24"/>
              </w:rPr>
              <w:t xml:space="preserve"> Nov.</w:t>
            </w:r>
          </w:p>
        </w:tc>
        <w:tc>
          <w:tcPr>
            <w:tcW w:w="990" w:type="dxa"/>
            <w:tcBorders>
              <w:top w:val="nil"/>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nil"/>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Response to Climate Change: the EU and Others</w:t>
            </w:r>
          </w:p>
        </w:tc>
        <w:tc>
          <w:tcPr>
            <w:tcW w:w="1323" w:type="dxa"/>
            <w:tcBorders>
              <w:top w:val="nil"/>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3971F1">
        <w:trPr>
          <w:trHeight w:val="323"/>
        </w:trPr>
        <w:tc>
          <w:tcPr>
            <w:tcW w:w="90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b/>
                <w:bCs/>
                <w:color w:val="000000"/>
                <w:sz w:val="18"/>
                <w:szCs w:val="24"/>
              </w:rPr>
            </w:pPr>
            <w:r w:rsidRPr="008F1361">
              <w:rPr>
                <w:rFonts w:ascii="Calibri" w:eastAsia="Times New Roman" w:hAnsi="Calibri" w:cs="Calibri"/>
                <w:b/>
                <w:bCs/>
                <w:color w:val="000000"/>
                <w:sz w:val="18"/>
                <w:szCs w:val="24"/>
              </w:rPr>
              <w:t>Week-7</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14</w:t>
            </w:r>
            <w:r w:rsidRPr="008F1361">
              <w:rPr>
                <w:rFonts w:ascii="Calibri" w:eastAsia="Times New Roman" w:hAnsi="Calibri" w:cs="Calibri"/>
                <w:color w:val="000000"/>
                <w:sz w:val="20"/>
                <w:szCs w:val="24"/>
              </w:rPr>
              <w:t xml:space="preserve"> Nov.</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Saturday</w:t>
            </w:r>
          </w:p>
        </w:tc>
        <w:tc>
          <w:tcPr>
            <w:tcW w:w="48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The Covid Crisis: New Realities or Back to Old Habits?</w:t>
            </w:r>
          </w:p>
        </w:tc>
        <w:tc>
          <w:tcPr>
            <w:tcW w:w="13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r w:rsidR="00373D81" w:rsidRPr="008F1361" w:rsidTr="003971F1">
        <w:trPr>
          <w:trHeight w:val="323"/>
        </w:trPr>
        <w:tc>
          <w:tcPr>
            <w:tcW w:w="906" w:type="dxa"/>
            <w:vMerge/>
            <w:tcBorders>
              <w:top w:val="single" w:sz="4" w:space="0" w:color="auto"/>
              <w:left w:val="single" w:sz="8" w:space="0" w:color="auto"/>
              <w:bottom w:val="single" w:sz="4" w:space="0" w:color="auto"/>
              <w:right w:val="single" w:sz="4" w:space="0" w:color="auto"/>
            </w:tcBorders>
            <w:vAlign w:val="center"/>
            <w:hideMark/>
          </w:tcPr>
          <w:p w:rsidR="00373D81" w:rsidRPr="008F1361" w:rsidRDefault="00373D81" w:rsidP="003971F1">
            <w:pPr>
              <w:spacing w:after="0"/>
              <w:rPr>
                <w:rFonts w:ascii="Calibri" w:eastAsia="Times New Roman" w:hAnsi="Calibri" w:cs="Calibri"/>
                <w:b/>
                <w:bCs/>
                <w:color w:val="000000"/>
                <w:sz w:val="20"/>
                <w:szCs w:val="24"/>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73D81" w:rsidRPr="008F1361" w:rsidRDefault="003220B9" w:rsidP="003971F1">
            <w:pPr>
              <w:spacing w:after="0"/>
              <w:jc w:val="center"/>
              <w:rPr>
                <w:rFonts w:ascii="Calibri" w:eastAsia="Times New Roman" w:hAnsi="Calibri" w:cs="Calibri"/>
                <w:color w:val="000000"/>
                <w:sz w:val="20"/>
                <w:szCs w:val="24"/>
              </w:rPr>
            </w:pPr>
            <w:r>
              <w:rPr>
                <w:rFonts w:ascii="Calibri" w:eastAsia="Times New Roman" w:hAnsi="Calibri" w:cs="Calibri"/>
                <w:color w:val="000000"/>
                <w:sz w:val="20"/>
                <w:szCs w:val="24"/>
              </w:rPr>
              <w:t>17</w:t>
            </w:r>
            <w:r w:rsidR="00373D81" w:rsidRPr="008F1361">
              <w:rPr>
                <w:rFonts w:ascii="Calibri" w:eastAsia="Times New Roman" w:hAnsi="Calibri" w:cs="Calibri"/>
                <w:color w:val="000000"/>
                <w:sz w:val="20"/>
                <w:szCs w:val="24"/>
              </w:rPr>
              <w:t xml:space="preserve"> Nov.</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73D81" w:rsidRPr="008F1361" w:rsidRDefault="00373D81" w:rsidP="003971F1">
            <w:pPr>
              <w:spacing w:after="0"/>
              <w:rPr>
                <w:rFonts w:ascii="Calibri" w:eastAsia="Times New Roman" w:hAnsi="Calibri" w:cs="Calibri"/>
                <w:color w:val="000000"/>
                <w:sz w:val="20"/>
                <w:szCs w:val="24"/>
              </w:rPr>
            </w:pPr>
            <w:r>
              <w:rPr>
                <w:rFonts w:ascii="Calibri" w:eastAsia="Times New Roman" w:hAnsi="Calibri" w:cs="Calibri"/>
                <w:color w:val="000000"/>
                <w:sz w:val="20"/>
                <w:szCs w:val="24"/>
              </w:rPr>
              <w:t>Tuesday</w:t>
            </w:r>
          </w:p>
        </w:tc>
        <w:tc>
          <w:tcPr>
            <w:tcW w:w="48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3D81" w:rsidRPr="00546317" w:rsidRDefault="00E85DD2"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Turkey’s Energy Challenge</w:t>
            </w:r>
          </w:p>
        </w:tc>
        <w:tc>
          <w:tcPr>
            <w:tcW w:w="13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73D81" w:rsidRPr="00546317" w:rsidRDefault="00373D81" w:rsidP="003971F1">
            <w:pPr>
              <w:spacing w:after="0"/>
              <w:rPr>
                <w:rFonts w:ascii="Calibri" w:eastAsia="Times New Roman" w:hAnsi="Calibri" w:cs="Calibri"/>
                <w:color w:val="000000"/>
                <w:sz w:val="20"/>
                <w:szCs w:val="24"/>
              </w:rPr>
            </w:pPr>
            <w:r w:rsidRPr="00546317">
              <w:rPr>
                <w:rFonts w:ascii="Calibri" w:eastAsia="Times New Roman" w:hAnsi="Calibri" w:cs="Calibri"/>
                <w:color w:val="000000"/>
                <w:sz w:val="20"/>
                <w:szCs w:val="24"/>
              </w:rPr>
              <w:t>Ahmet Evin</w:t>
            </w:r>
          </w:p>
        </w:tc>
      </w:tr>
    </w:tbl>
    <w:p w:rsidR="008F1361" w:rsidRDefault="008F1361" w:rsidP="003971F1">
      <w:pPr>
        <w:pStyle w:val="NormalWeb"/>
        <w:spacing w:before="0" w:beforeAutospacing="0" w:after="0" w:afterAutospacing="0" w:line="276" w:lineRule="auto"/>
        <w:rPr>
          <w:rFonts w:asciiTheme="minorHAnsi" w:hAnsiTheme="minorHAnsi" w:cstheme="minorHAnsi"/>
          <w:b/>
          <w:bCs/>
          <w:color w:val="auto"/>
          <w:sz w:val="22"/>
          <w:szCs w:val="22"/>
        </w:rPr>
      </w:pPr>
    </w:p>
    <w:p w:rsidR="003971F1" w:rsidRDefault="003971F1" w:rsidP="003971F1">
      <w:pPr>
        <w:pStyle w:val="NormalWeb"/>
        <w:spacing w:before="0" w:beforeAutospacing="0" w:after="0" w:afterAutospacing="0" w:line="276" w:lineRule="auto"/>
        <w:rPr>
          <w:rFonts w:asciiTheme="minorHAnsi" w:hAnsiTheme="minorHAnsi" w:cstheme="minorHAnsi"/>
          <w:b/>
          <w:bCs/>
          <w:color w:val="auto"/>
          <w:sz w:val="22"/>
          <w:szCs w:val="22"/>
        </w:rPr>
      </w:pPr>
      <w:bookmarkStart w:id="0" w:name="_GoBack"/>
      <w:bookmarkEnd w:id="0"/>
    </w:p>
    <w:sectPr w:rsidR="003971F1" w:rsidSect="00E94262">
      <w:footerReference w:type="default" r:id="rId17"/>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CE" w:rsidRDefault="00C46FCE" w:rsidP="001D2503">
      <w:pPr>
        <w:spacing w:after="0" w:line="240" w:lineRule="auto"/>
      </w:pPr>
      <w:r>
        <w:separator/>
      </w:r>
    </w:p>
  </w:endnote>
  <w:endnote w:type="continuationSeparator" w:id="0">
    <w:p w:rsidR="00C46FCE" w:rsidRDefault="00C46FCE" w:rsidP="001D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20391"/>
      <w:docPartObj>
        <w:docPartGallery w:val="Page Numbers (Bottom of Page)"/>
        <w:docPartUnique/>
      </w:docPartObj>
    </w:sdtPr>
    <w:sdtEndPr/>
    <w:sdtContent>
      <w:p w:rsidR="008238CD" w:rsidRDefault="00121626">
        <w:pPr>
          <w:pStyle w:val="Footer"/>
          <w:jc w:val="right"/>
        </w:pPr>
        <w:r>
          <w:fldChar w:fldCharType="begin"/>
        </w:r>
        <w:r>
          <w:instrText xml:space="preserve"> PAGE   \* MERGEFORMAT </w:instrText>
        </w:r>
        <w:r>
          <w:fldChar w:fldCharType="separate"/>
        </w:r>
        <w:r w:rsidR="00661F55">
          <w:rPr>
            <w:noProof/>
          </w:rPr>
          <w:t>1</w:t>
        </w:r>
        <w:r>
          <w:rPr>
            <w:noProof/>
          </w:rPr>
          <w:fldChar w:fldCharType="end"/>
        </w:r>
      </w:p>
    </w:sdtContent>
  </w:sdt>
  <w:p w:rsidR="008238CD" w:rsidRDefault="0082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CE" w:rsidRDefault="00C46FCE" w:rsidP="001D2503">
      <w:pPr>
        <w:spacing w:after="0" w:line="240" w:lineRule="auto"/>
      </w:pPr>
      <w:r>
        <w:separator/>
      </w:r>
    </w:p>
  </w:footnote>
  <w:footnote w:type="continuationSeparator" w:id="0">
    <w:p w:rsidR="00C46FCE" w:rsidRDefault="00C46FCE" w:rsidP="001D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47F"/>
    <w:multiLevelType w:val="hybridMultilevel"/>
    <w:tmpl w:val="BF0EF6C8"/>
    <w:lvl w:ilvl="0" w:tplc="EA0C6FE2">
      <w:start w:val="1"/>
      <w:numFmt w:val="bullet"/>
      <w:lvlText w:val="•"/>
      <w:lvlJc w:val="left"/>
      <w:pPr>
        <w:tabs>
          <w:tab w:val="num" w:pos="720"/>
        </w:tabs>
        <w:ind w:left="720" w:hanging="360"/>
      </w:pPr>
      <w:rPr>
        <w:rFonts w:ascii="Times New Roman" w:hAnsi="Times New Roman" w:hint="default"/>
      </w:rPr>
    </w:lvl>
    <w:lvl w:ilvl="1" w:tplc="CDBA0B0A" w:tentative="1">
      <w:start w:val="1"/>
      <w:numFmt w:val="bullet"/>
      <w:lvlText w:val="•"/>
      <w:lvlJc w:val="left"/>
      <w:pPr>
        <w:tabs>
          <w:tab w:val="num" w:pos="1440"/>
        </w:tabs>
        <w:ind w:left="1440" w:hanging="360"/>
      </w:pPr>
      <w:rPr>
        <w:rFonts w:ascii="Times New Roman" w:hAnsi="Times New Roman" w:hint="default"/>
      </w:rPr>
    </w:lvl>
    <w:lvl w:ilvl="2" w:tplc="F44A85B4" w:tentative="1">
      <w:start w:val="1"/>
      <w:numFmt w:val="bullet"/>
      <w:lvlText w:val="•"/>
      <w:lvlJc w:val="left"/>
      <w:pPr>
        <w:tabs>
          <w:tab w:val="num" w:pos="2160"/>
        </w:tabs>
        <w:ind w:left="2160" w:hanging="360"/>
      </w:pPr>
      <w:rPr>
        <w:rFonts w:ascii="Times New Roman" w:hAnsi="Times New Roman" w:hint="default"/>
      </w:rPr>
    </w:lvl>
    <w:lvl w:ilvl="3" w:tplc="E3DE3B18" w:tentative="1">
      <w:start w:val="1"/>
      <w:numFmt w:val="bullet"/>
      <w:lvlText w:val="•"/>
      <w:lvlJc w:val="left"/>
      <w:pPr>
        <w:tabs>
          <w:tab w:val="num" w:pos="2880"/>
        </w:tabs>
        <w:ind w:left="2880" w:hanging="360"/>
      </w:pPr>
      <w:rPr>
        <w:rFonts w:ascii="Times New Roman" w:hAnsi="Times New Roman" w:hint="default"/>
      </w:rPr>
    </w:lvl>
    <w:lvl w:ilvl="4" w:tplc="7B62CB20" w:tentative="1">
      <w:start w:val="1"/>
      <w:numFmt w:val="bullet"/>
      <w:lvlText w:val="•"/>
      <w:lvlJc w:val="left"/>
      <w:pPr>
        <w:tabs>
          <w:tab w:val="num" w:pos="3600"/>
        </w:tabs>
        <w:ind w:left="3600" w:hanging="360"/>
      </w:pPr>
      <w:rPr>
        <w:rFonts w:ascii="Times New Roman" w:hAnsi="Times New Roman" w:hint="default"/>
      </w:rPr>
    </w:lvl>
    <w:lvl w:ilvl="5" w:tplc="374A5E06" w:tentative="1">
      <w:start w:val="1"/>
      <w:numFmt w:val="bullet"/>
      <w:lvlText w:val="•"/>
      <w:lvlJc w:val="left"/>
      <w:pPr>
        <w:tabs>
          <w:tab w:val="num" w:pos="4320"/>
        </w:tabs>
        <w:ind w:left="4320" w:hanging="360"/>
      </w:pPr>
      <w:rPr>
        <w:rFonts w:ascii="Times New Roman" w:hAnsi="Times New Roman" w:hint="default"/>
      </w:rPr>
    </w:lvl>
    <w:lvl w:ilvl="6" w:tplc="9B6E49E8" w:tentative="1">
      <w:start w:val="1"/>
      <w:numFmt w:val="bullet"/>
      <w:lvlText w:val="•"/>
      <w:lvlJc w:val="left"/>
      <w:pPr>
        <w:tabs>
          <w:tab w:val="num" w:pos="5040"/>
        </w:tabs>
        <w:ind w:left="5040" w:hanging="360"/>
      </w:pPr>
      <w:rPr>
        <w:rFonts w:ascii="Times New Roman" w:hAnsi="Times New Roman" w:hint="default"/>
      </w:rPr>
    </w:lvl>
    <w:lvl w:ilvl="7" w:tplc="D6F4FE86" w:tentative="1">
      <w:start w:val="1"/>
      <w:numFmt w:val="bullet"/>
      <w:lvlText w:val="•"/>
      <w:lvlJc w:val="left"/>
      <w:pPr>
        <w:tabs>
          <w:tab w:val="num" w:pos="5760"/>
        </w:tabs>
        <w:ind w:left="5760" w:hanging="360"/>
      </w:pPr>
      <w:rPr>
        <w:rFonts w:ascii="Times New Roman" w:hAnsi="Times New Roman" w:hint="default"/>
      </w:rPr>
    </w:lvl>
    <w:lvl w:ilvl="8" w:tplc="FF62E3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F63C85"/>
    <w:multiLevelType w:val="hybridMultilevel"/>
    <w:tmpl w:val="1242B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7744B"/>
    <w:multiLevelType w:val="hybridMultilevel"/>
    <w:tmpl w:val="4DE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64ADE"/>
    <w:multiLevelType w:val="hybridMultilevel"/>
    <w:tmpl w:val="B79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617C8"/>
    <w:multiLevelType w:val="hybridMultilevel"/>
    <w:tmpl w:val="52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49A2"/>
    <w:multiLevelType w:val="hybridMultilevel"/>
    <w:tmpl w:val="418E2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96C23"/>
    <w:multiLevelType w:val="hybridMultilevel"/>
    <w:tmpl w:val="802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48CB"/>
    <w:multiLevelType w:val="hybridMultilevel"/>
    <w:tmpl w:val="A57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5124A"/>
    <w:multiLevelType w:val="hybridMultilevel"/>
    <w:tmpl w:val="9FC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6987"/>
    <w:multiLevelType w:val="hybridMultilevel"/>
    <w:tmpl w:val="7E8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E4B40"/>
    <w:multiLevelType w:val="hybridMultilevel"/>
    <w:tmpl w:val="3DB0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1840"/>
    <w:multiLevelType w:val="hybridMultilevel"/>
    <w:tmpl w:val="E9E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D602A"/>
    <w:multiLevelType w:val="hybridMultilevel"/>
    <w:tmpl w:val="F5B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111D"/>
    <w:multiLevelType w:val="hybridMultilevel"/>
    <w:tmpl w:val="6300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D4D0E"/>
    <w:multiLevelType w:val="hybridMultilevel"/>
    <w:tmpl w:val="B97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8140A"/>
    <w:multiLevelType w:val="hybridMultilevel"/>
    <w:tmpl w:val="1132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43CE"/>
    <w:multiLevelType w:val="multilevel"/>
    <w:tmpl w:val="111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0642D"/>
    <w:multiLevelType w:val="hybridMultilevel"/>
    <w:tmpl w:val="D00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B772F"/>
    <w:multiLevelType w:val="hybridMultilevel"/>
    <w:tmpl w:val="FC9A63FA"/>
    <w:lvl w:ilvl="0" w:tplc="0B8402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6"/>
  </w:num>
  <w:num w:numId="6">
    <w:abstractNumId w:val="18"/>
  </w:num>
  <w:num w:numId="7">
    <w:abstractNumId w:val="15"/>
  </w:num>
  <w:num w:numId="8">
    <w:abstractNumId w:val="1"/>
  </w:num>
  <w:num w:numId="9">
    <w:abstractNumId w:val="17"/>
  </w:num>
  <w:num w:numId="10">
    <w:abstractNumId w:val="13"/>
  </w:num>
  <w:num w:numId="11">
    <w:abstractNumId w:val="5"/>
  </w:num>
  <w:num w:numId="12">
    <w:abstractNumId w:val="4"/>
  </w:num>
  <w:num w:numId="13">
    <w:abstractNumId w:val="2"/>
  </w:num>
  <w:num w:numId="14">
    <w:abstractNumId w:val="14"/>
  </w:num>
  <w:num w:numId="15">
    <w:abstractNumId w:val="10"/>
  </w:num>
  <w:num w:numId="16">
    <w:abstractNumId w:val="7"/>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0"/>
    <w:rsid w:val="00004392"/>
    <w:rsid w:val="000505BE"/>
    <w:rsid w:val="00062ECC"/>
    <w:rsid w:val="00072F3D"/>
    <w:rsid w:val="000A2946"/>
    <w:rsid w:val="000B21D0"/>
    <w:rsid w:val="000C5B35"/>
    <w:rsid w:val="000E29F3"/>
    <w:rsid w:val="00121626"/>
    <w:rsid w:val="00125A5B"/>
    <w:rsid w:val="00144E39"/>
    <w:rsid w:val="00152BF5"/>
    <w:rsid w:val="00154C23"/>
    <w:rsid w:val="00163F80"/>
    <w:rsid w:val="00186498"/>
    <w:rsid w:val="001C4804"/>
    <w:rsid w:val="001C64CB"/>
    <w:rsid w:val="001D2503"/>
    <w:rsid w:val="002051D8"/>
    <w:rsid w:val="00207870"/>
    <w:rsid w:val="00207906"/>
    <w:rsid w:val="00220712"/>
    <w:rsid w:val="00233F5C"/>
    <w:rsid w:val="00272470"/>
    <w:rsid w:val="0027297E"/>
    <w:rsid w:val="00286B18"/>
    <w:rsid w:val="002A416B"/>
    <w:rsid w:val="002C5837"/>
    <w:rsid w:val="002F1AE1"/>
    <w:rsid w:val="002F379A"/>
    <w:rsid w:val="0031122C"/>
    <w:rsid w:val="003220B9"/>
    <w:rsid w:val="00327B6E"/>
    <w:rsid w:val="0033768B"/>
    <w:rsid w:val="003443B1"/>
    <w:rsid w:val="00350535"/>
    <w:rsid w:val="00363377"/>
    <w:rsid w:val="00373D81"/>
    <w:rsid w:val="003971F1"/>
    <w:rsid w:val="003E198C"/>
    <w:rsid w:val="00411E2C"/>
    <w:rsid w:val="00440BC0"/>
    <w:rsid w:val="00452EED"/>
    <w:rsid w:val="00464E30"/>
    <w:rsid w:val="00476F5E"/>
    <w:rsid w:val="00481FBE"/>
    <w:rsid w:val="004A32FB"/>
    <w:rsid w:val="004D33B9"/>
    <w:rsid w:val="004D4566"/>
    <w:rsid w:val="004F12CD"/>
    <w:rsid w:val="00501F59"/>
    <w:rsid w:val="00535D2A"/>
    <w:rsid w:val="00546317"/>
    <w:rsid w:val="00563246"/>
    <w:rsid w:val="00565310"/>
    <w:rsid w:val="00594448"/>
    <w:rsid w:val="005F190F"/>
    <w:rsid w:val="005F412D"/>
    <w:rsid w:val="005F6EC9"/>
    <w:rsid w:val="006040BC"/>
    <w:rsid w:val="006178FE"/>
    <w:rsid w:val="00661F55"/>
    <w:rsid w:val="0066650E"/>
    <w:rsid w:val="00681063"/>
    <w:rsid w:val="0068550D"/>
    <w:rsid w:val="006C1677"/>
    <w:rsid w:val="006C51A9"/>
    <w:rsid w:val="006F4A09"/>
    <w:rsid w:val="007000E9"/>
    <w:rsid w:val="00720EE0"/>
    <w:rsid w:val="00747628"/>
    <w:rsid w:val="00783BCC"/>
    <w:rsid w:val="0079390C"/>
    <w:rsid w:val="007A3D61"/>
    <w:rsid w:val="007C2093"/>
    <w:rsid w:val="0080746D"/>
    <w:rsid w:val="0080784F"/>
    <w:rsid w:val="008238CD"/>
    <w:rsid w:val="00831071"/>
    <w:rsid w:val="0086481E"/>
    <w:rsid w:val="008F1361"/>
    <w:rsid w:val="00924FB3"/>
    <w:rsid w:val="00934480"/>
    <w:rsid w:val="00950534"/>
    <w:rsid w:val="00984621"/>
    <w:rsid w:val="009B0E5C"/>
    <w:rsid w:val="009C3593"/>
    <w:rsid w:val="009E50A8"/>
    <w:rsid w:val="00A300A2"/>
    <w:rsid w:val="00A53AFA"/>
    <w:rsid w:val="00A73A7B"/>
    <w:rsid w:val="00A900E5"/>
    <w:rsid w:val="00AB19C7"/>
    <w:rsid w:val="00AD3AD5"/>
    <w:rsid w:val="00AE5E05"/>
    <w:rsid w:val="00B37563"/>
    <w:rsid w:val="00B503A5"/>
    <w:rsid w:val="00B56195"/>
    <w:rsid w:val="00B60148"/>
    <w:rsid w:val="00B63F33"/>
    <w:rsid w:val="00B76DC4"/>
    <w:rsid w:val="00BB0AAA"/>
    <w:rsid w:val="00BB0BBD"/>
    <w:rsid w:val="00BB73AA"/>
    <w:rsid w:val="00BE6140"/>
    <w:rsid w:val="00BF4BE9"/>
    <w:rsid w:val="00C250AF"/>
    <w:rsid w:val="00C31165"/>
    <w:rsid w:val="00C46FCE"/>
    <w:rsid w:val="00C54176"/>
    <w:rsid w:val="00C57F96"/>
    <w:rsid w:val="00CC5A91"/>
    <w:rsid w:val="00D1460B"/>
    <w:rsid w:val="00D34FBC"/>
    <w:rsid w:val="00D624B2"/>
    <w:rsid w:val="00DB66A9"/>
    <w:rsid w:val="00DE2426"/>
    <w:rsid w:val="00E10B86"/>
    <w:rsid w:val="00E24D6B"/>
    <w:rsid w:val="00E260DF"/>
    <w:rsid w:val="00E60854"/>
    <w:rsid w:val="00E65A29"/>
    <w:rsid w:val="00E85DD2"/>
    <w:rsid w:val="00E94262"/>
    <w:rsid w:val="00ED2332"/>
    <w:rsid w:val="00EE0AC5"/>
    <w:rsid w:val="00EE33C3"/>
    <w:rsid w:val="00F12786"/>
    <w:rsid w:val="00F432F2"/>
    <w:rsid w:val="00F5490E"/>
    <w:rsid w:val="00F6260B"/>
    <w:rsid w:val="00F7341D"/>
    <w:rsid w:val="00F94ED2"/>
    <w:rsid w:val="00F979EA"/>
    <w:rsid w:val="00FB1209"/>
    <w:rsid w:val="00FB359B"/>
    <w:rsid w:val="00FB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3D26"/>
  <w15:docId w15:val="{DD1141BB-5A90-4A1B-8DC4-508CD37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2C"/>
    <w:pPr>
      <w:ind w:left="720"/>
      <w:contextualSpacing/>
    </w:pPr>
  </w:style>
  <w:style w:type="paragraph" w:styleId="Footer">
    <w:name w:val="footer"/>
    <w:basedOn w:val="Normal"/>
    <w:link w:val="FooterChar"/>
    <w:uiPriority w:val="99"/>
    <w:unhideWhenUsed/>
    <w:rsid w:val="00411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2C"/>
  </w:style>
  <w:style w:type="paragraph" w:styleId="BalloonText">
    <w:name w:val="Balloon Text"/>
    <w:basedOn w:val="Normal"/>
    <w:link w:val="BalloonTextChar"/>
    <w:uiPriority w:val="99"/>
    <w:semiHidden/>
    <w:unhideWhenUsed/>
    <w:rsid w:val="0041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2C"/>
    <w:rPr>
      <w:rFonts w:ascii="Tahoma" w:hAnsi="Tahoma" w:cs="Tahoma"/>
      <w:sz w:val="16"/>
      <w:szCs w:val="16"/>
    </w:rPr>
  </w:style>
  <w:style w:type="character" w:styleId="Hyperlink">
    <w:name w:val="Hyperlink"/>
    <w:basedOn w:val="DefaultParagraphFont"/>
    <w:unhideWhenUsed/>
    <w:rsid w:val="00565310"/>
    <w:rPr>
      <w:color w:val="0000FF"/>
      <w:u w:val="single"/>
    </w:rPr>
  </w:style>
  <w:style w:type="paragraph" w:styleId="NormalWeb">
    <w:name w:val="Normal (Web)"/>
    <w:basedOn w:val="Normal"/>
    <w:uiPriority w:val="99"/>
    <w:rsid w:val="00F432F2"/>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6641">
      <w:bodyDiv w:val="1"/>
      <w:marLeft w:val="0"/>
      <w:marRight w:val="0"/>
      <w:marTop w:val="0"/>
      <w:marBottom w:val="0"/>
      <w:divBdr>
        <w:top w:val="none" w:sz="0" w:space="0" w:color="auto"/>
        <w:left w:val="none" w:sz="0" w:space="0" w:color="auto"/>
        <w:bottom w:val="none" w:sz="0" w:space="0" w:color="auto"/>
        <w:right w:val="none" w:sz="0" w:space="0" w:color="auto"/>
      </w:divBdr>
    </w:div>
    <w:div w:id="389547208">
      <w:bodyDiv w:val="1"/>
      <w:marLeft w:val="0"/>
      <w:marRight w:val="0"/>
      <w:marTop w:val="0"/>
      <w:marBottom w:val="0"/>
      <w:divBdr>
        <w:top w:val="none" w:sz="0" w:space="0" w:color="auto"/>
        <w:left w:val="none" w:sz="0" w:space="0" w:color="auto"/>
        <w:bottom w:val="none" w:sz="0" w:space="0" w:color="auto"/>
        <w:right w:val="none" w:sz="0" w:space="0" w:color="auto"/>
      </w:divBdr>
      <w:divsChild>
        <w:div w:id="1395852191">
          <w:marLeft w:val="547"/>
          <w:marRight w:val="0"/>
          <w:marTop w:val="115"/>
          <w:marBottom w:val="0"/>
          <w:divBdr>
            <w:top w:val="none" w:sz="0" w:space="0" w:color="auto"/>
            <w:left w:val="none" w:sz="0" w:space="0" w:color="auto"/>
            <w:bottom w:val="none" w:sz="0" w:space="0" w:color="auto"/>
            <w:right w:val="none" w:sz="0" w:space="0" w:color="auto"/>
          </w:divBdr>
        </w:div>
        <w:div w:id="2036736471">
          <w:marLeft w:val="547"/>
          <w:marRight w:val="0"/>
          <w:marTop w:val="115"/>
          <w:marBottom w:val="0"/>
          <w:divBdr>
            <w:top w:val="none" w:sz="0" w:space="0" w:color="auto"/>
            <w:left w:val="none" w:sz="0" w:space="0" w:color="auto"/>
            <w:bottom w:val="none" w:sz="0" w:space="0" w:color="auto"/>
            <w:right w:val="none" w:sz="0" w:space="0" w:color="auto"/>
          </w:divBdr>
        </w:div>
        <w:div w:id="1137919446">
          <w:marLeft w:val="547"/>
          <w:marRight w:val="0"/>
          <w:marTop w:val="115"/>
          <w:marBottom w:val="0"/>
          <w:divBdr>
            <w:top w:val="none" w:sz="0" w:space="0" w:color="auto"/>
            <w:left w:val="none" w:sz="0" w:space="0" w:color="auto"/>
            <w:bottom w:val="none" w:sz="0" w:space="0" w:color="auto"/>
            <w:right w:val="none" w:sz="0" w:space="0" w:color="auto"/>
          </w:divBdr>
        </w:div>
        <w:div w:id="997807706">
          <w:marLeft w:val="547"/>
          <w:marRight w:val="0"/>
          <w:marTop w:val="115"/>
          <w:marBottom w:val="0"/>
          <w:divBdr>
            <w:top w:val="none" w:sz="0" w:space="0" w:color="auto"/>
            <w:left w:val="none" w:sz="0" w:space="0" w:color="auto"/>
            <w:bottom w:val="none" w:sz="0" w:space="0" w:color="auto"/>
            <w:right w:val="none" w:sz="0" w:space="0" w:color="auto"/>
          </w:divBdr>
        </w:div>
        <w:div w:id="1727486415">
          <w:marLeft w:val="547"/>
          <w:marRight w:val="0"/>
          <w:marTop w:val="115"/>
          <w:marBottom w:val="0"/>
          <w:divBdr>
            <w:top w:val="none" w:sz="0" w:space="0" w:color="auto"/>
            <w:left w:val="none" w:sz="0" w:space="0" w:color="auto"/>
            <w:bottom w:val="none" w:sz="0" w:space="0" w:color="auto"/>
            <w:right w:val="none" w:sz="0" w:space="0" w:color="auto"/>
          </w:divBdr>
        </w:div>
        <w:div w:id="237715988">
          <w:marLeft w:val="547"/>
          <w:marRight w:val="0"/>
          <w:marTop w:val="115"/>
          <w:marBottom w:val="0"/>
          <w:divBdr>
            <w:top w:val="none" w:sz="0" w:space="0" w:color="auto"/>
            <w:left w:val="none" w:sz="0" w:space="0" w:color="auto"/>
            <w:bottom w:val="none" w:sz="0" w:space="0" w:color="auto"/>
            <w:right w:val="none" w:sz="0" w:space="0" w:color="auto"/>
          </w:divBdr>
        </w:div>
      </w:divsChild>
    </w:div>
    <w:div w:id="454183528">
      <w:bodyDiv w:val="1"/>
      <w:marLeft w:val="0"/>
      <w:marRight w:val="0"/>
      <w:marTop w:val="0"/>
      <w:marBottom w:val="0"/>
      <w:divBdr>
        <w:top w:val="none" w:sz="0" w:space="0" w:color="auto"/>
        <w:left w:val="none" w:sz="0" w:space="0" w:color="auto"/>
        <w:bottom w:val="none" w:sz="0" w:space="0" w:color="auto"/>
        <w:right w:val="none" w:sz="0" w:space="0" w:color="auto"/>
      </w:divBdr>
    </w:div>
    <w:div w:id="1053046884">
      <w:bodyDiv w:val="1"/>
      <w:marLeft w:val="0"/>
      <w:marRight w:val="0"/>
      <w:marTop w:val="0"/>
      <w:marBottom w:val="0"/>
      <w:divBdr>
        <w:top w:val="none" w:sz="0" w:space="0" w:color="auto"/>
        <w:left w:val="none" w:sz="0" w:space="0" w:color="auto"/>
        <w:bottom w:val="none" w:sz="0" w:space="0" w:color="auto"/>
        <w:right w:val="none" w:sz="0" w:space="0" w:color="auto"/>
      </w:divBdr>
    </w:div>
    <w:div w:id="1163356909">
      <w:bodyDiv w:val="1"/>
      <w:marLeft w:val="0"/>
      <w:marRight w:val="0"/>
      <w:marTop w:val="0"/>
      <w:marBottom w:val="0"/>
      <w:divBdr>
        <w:top w:val="none" w:sz="0" w:space="0" w:color="auto"/>
        <w:left w:val="none" w:sz="0" w:space="0" w:color="auto"/>
        <w:bottom w:val="none" w:sz="0" w:space="0" w:color="auto"/>
        <w:right w:val="none" w:sz="0" w:space="0" w:color="auto"/>
      </w:divBdr>
    </w:div>
    <w:div w:id="1287469894">
      <w:bodyDiv w:val="1"/>
      <w:marLeft w:val="0"/>
      <w:marRight w:val="0"/>
      <w:marTop w:val="0"/>
      <w:marBottom w:val="0"/>
      <w:divBdr>
        <w:top w:val="none" w:sz="0" w:space="0" w:color="auto"/>
        <w:left w:val="none" w:sz="0" w:space="0" w:color="auto"/>
        <w:bottom w:val="none" w:sz="0" w:space="0" w:color="auto"/>
        <w:right w:val="none" w:sz="0" w:space="0" w:color="auto"/>
      </w:divBdr>
    </w:div>
    <w:div w:id="1360473189">
      <w:bodyDiv w:val="1"/>
      <w:marLeft w:val="0"/>
      <w:marRight w:val="0"/>
      <w:marTop w:val="0"/>
      <w:marBottom w:val="0"/>
      <w:divBdr>
        <w:top w:val="none" w:sz="0" w:space="0" w:color="auto"/>
        <w:left w:val="none" w:sz="0" w:space="0" w:color="auto"/>
        <w:bottom w:val="none" w:sz="0" w:space="0" w:color="auto"/>
        <w:right w:val="none" w:sz="0" w:space="0" w:color="auto"/>
      </w:divBdr>
    </w:div>
    <w:div w:id="21359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energyoutlook.org/" TargetMode="External"/><Relationship Id="rId13" Type="http://schemas.openxmlformats.org/officeDocument/2006/relationships/hyperlink" Target="https://www.eia.gov/energyexplain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ya@sabanciuniv.edu" TargetMode="External"/><Relationship Id="rId12" Type="http://schemas.openxmlformats.org/officeDocument/2006/relationships/hyperlink" Target="http://www.mckinsey.com/industries/electric-power-and-natural-gas/how-we-help-cli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amestown.org/programs/e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com/en/global/corporate/energy-economics/energy-outlook.html" TargetMode="External"/><Relationship Id="rId5" Type="http://schemas.openxmlformats.org/officeDocument/2006/relationships/footnotes" Target="footnotes.xml"/><Relationship Id="rId15" Type="http://schemas.openxmlformats.org/officeDocument/2006/relationships/hyperlink" Target="http://www.withouthotair.com/" TargetMode="External"/><Relationship Id="rId10" Type="http://schemas.openxmlformats.org/officeDocument/2006/relationships/hyperlink" Target="http://www.bp.com/en/global/corporate/energy-economics/statistical-review-of-world-energ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a.org/roadmaps/" TargetMode="External"/><Relationship Id="rId14" Type="http://schemas.openxmlformats.org/officeDocument/2006/relationships/hyperlink" Target="http://www.oxford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Kaya</dc:creator>
  <cp:lastModifiedBy>Murat Kaya</cp:lastModifiedBy>
  <cp:revision>5</cp:revision>
  <cp:lastPrinted>2016-09-27T14:30:00Z</cp:lastPrinted>
  <dcterms:created xsi:type="dcterms:W3CDTF">2020-10-02T06:10:00Z</dcterms:created>
  <dcterms:modified xsi:type="dcterms:W3CDTF">2020-10-02T06:50:00Z</dcterms:modified>
</cp:coreProperties>
</file>